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english_development_governmentality_bangladesh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qualitative case study using thematic and discourse analysis of how development-framed English-in-education policy shapes experiences of students and parents in a low-socioeconomic Bangladeshi school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Exposure to development-framed English-in-education policy texts increases aspirational valuation of English and increases self-reported shame about English ability among low-SES students and parents compared to exposure to neutral educational framing.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research covers three relevant areas: (1) language-in-education and linguistic human capital studies that link English proficiency to economic opportunity but mainly use large-scale surveys and policy text analysis; (2) critical social-theory work that interprets language policy through governmentality and habitus (drawing on Foucauldian and Bourdieusian frames) and affect (Sara Ahmed), often at macro or conceptual levels; (3) classroom and sociolinguistic studies documenting code-switching, teacher language choice, and prestige but frequently limited to descriptive ethnography. Limitations: prior quantitative work under-specifies affective experiences (shame/pride) and local meaning; critical theory pieces lack micro-empirical triangulation with classroom interaction data; many field studies do not preserve bilingual data features (code-switching) or robust back-translation, reducing trustworthiness; few studies combine randomized vignette-style exposure to policy frames with in-depth qualitative coding to test causal links between policy rhetoric and affective/behavioral responses. There is also limited attention to decolonial ethics, participant verification, and rigorous translation arbitration.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examines whether and how framing English-in-education as a tool for development shapes the aspirations, affect, and behaviours of students and parents in a low-socioeconomic school in Bangladesh. We combine a randomized vignette exposure (development-framed vs neutral policy text) with a focused qualitative case study using interviews, focus groups, classroom observation, and document analysis. Data are bilingual (Bangla/English), verbatim-transcribed, back-translated, and coded using an explicit codebook that maps empirical nodes to habitus, linguistic capital, governmentality, and affect/misrecognition. The main contribution is an empirically grounded linkage between policy framing and micro-level affective and behavioural outcomes (aspiration, shame, investment decisions), plus a transparent protocol for bilingual transcription, translation arbitration, and member-checking in low-SES contexts. Expected outcomes include measurable differences in aspiration and shame after vignette exposure, thematic maps showing how governmentality appears in classroom talk, and a reproducible codebook and translation rubric for researchers working in multilingual, postcolonial education contexts.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Site and sample: single low-SES urban/rural school in Bangladesh; participants: principal (1), English teachers (6–8), parents (12), students (12), plus 8–12 classroom observations and 4–6 policy documents. 2) Randomized vignette exposure: create two short policy texts (development-framed vs neutral). Randomly assign consenting parents and students to one text before survey and short interview. 3) Instruments: short survey (Likert items on aspiration and shame), semi-structured interview guides (prompts mapped to habitus, linguistic capital, governmentality, misrecognition), observation rubrics (teacher language choice, code-switching, praise/correction), and artifact/document heuristics. 4) Data capture: audio-record interviews and observations in participants' preferred language. Collect fieldnotes. 5) Transcription &amp; translation: bilingual verbatim transcription preserving code-switching (code-switching = switching between languages during speech). Independent back-translation into English; adjudicate ambiguous items with a Translations Lead and sociolinguist. 6) Coding: import bilingual transcripts into NVivo or similar. Use a stripped codebook mapping empirical nodes to theoretical constructs. Conduct open thematic coding, tag discursive interactional units for discourse analysis, then apply theory-codes. 7) Calibration &amp; reliability: pilot-code ~15% of transcripts double-coded; compute Cohen's kappa (kappa = statistic for inter-coder agreement); aim &gt;=0.7; use negotiated consensus if needed. 8) Member-check &amp; negative-case: present 2–3 interpretive summaries in simple Bangla to participants for feedback; select negative-case transcripts for focused reanalysis. 9) Outputs: thematic maps, exemplar bilingual vignettes, codebook skeleton, and a translation arbitration rubric. 10) Data governance: role-based encrypted storage, anonymization, and local partner custodianship.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1) Overall design: mixed-methods with an embedded randomized experiment plus qualitative corpus. 2) Quantitative vignette experiment: participants = 120 total (60 parents, 60 students) consenting adults/assenting students from the school catchment. Randomize 1:1 to development-framed policy text (treatment) or neutral education text (control). 3) Quantitative measures: aspiration scale (5-item Likert, 1–5), state shame scale (5-item Likert, 1–5), willingness-to-pay proxy (binary: agree to small fee for extra English tutoring), and behavioral intent (binary: sign up for extra classes). 4) Statistical analysis: compare group means with two-sample t-tests; compare proportions with chi-square tests; fit linear regression for continuous outcomes and logistic regression for binary outcomes controlling for covariates (parent education, household assets, student grade). Report effect sizes and 95% confidence intervals. 5) Qualitative data collection: semi-structured interviews (1 principal, 6–8 teachers, 12 parents, 12 students), 8–12 classroom observations, document collection. 6) Baselines: control vignette group; baseline pre-exposure survey of aspiration/shame. 7) Qualitative analysis: open coding → theory mapping → discourse analysis on selected interactional sequences. Calibration: double-code 15% transcripts, report Cohen's kappa and percent agreement. 8) Ablation studies: A) remove explicit development language from vignette to test sensitivity; B) compare coded affect frequency in transcripts with vs without preserving code-switching markers; C) compare results using translations with back-translation adjudication vs single-translator translations to measure translation impact on affect coding. 9) Evaluation metrics: quantitative effect sizes, p-values, and confidence intervals; qualitative metrics: code frequency counts, saturation rule (no new primary codes across 3 consecutive interviews), inter-coder reliability statistics, and documented negative-case results. 10) Replication outputs: anonymized survey data and stripped codebook skeleton.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Sample size and generalizability: single-school design limits external validity; randomized experiment sample modest (n=120) so small effects may not be detectable. 2) Social desirability and gatekeeper bias: participants may give responses they think researchers or school leaders want; gatekeepers may influence who participates. 3) Translation ambiguity: emotional/affective words in Bangla may not map cleanly to English; back-translation may not resolve all ambiguity. 4) Coding subjectivity: thematic coding depends on human judgment; inter-coder reliability may fall below target. 5) Confounding: prior exposure to English tuition or media may confound vignette effects. 6) Ethical/legal constraints: mandatory reporting obligations and local IRB rules may interrupt data collection or require disclosure. 7) Political/safety risks: local political events or school closures may force remote methods and change data quality. 8) Data security: cross-border data transfer may be restricted; encrypted storage must meet local law. 9) Scalability and compute: qualitative analysis tools (NVivo) and manual transcription are time-consuming and resource-intensive. 10) Measure validity: short scales for shame/aspiration are proxies and may not capture deep affective states.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