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artificial_creativity_provenance_probe</w:t>
      </w:r>
    </w:p>
    <w:p>
      <w:r>
        <w:t xml:space="preserve"> </w:t>
      </w:r>
    </w:p>
    <w:p>
      <w:pPr>
        <w:pStyle w:val="Heading2"/>
      </w:pPr>
      <w:r>
        <w:t>Title</w:t>
      </w:r>
    </w:p>
    <w:p>
      <w:r>
        <w:t>Causal evaluation of perceived creativity via provenance transparency and causal probes in opaque generative systems</w:t>
      </w:r>
    </w:p>
    <w:p>
      <w:r>
        <w:t xml:space="preserve"> </w:t>
      </w:r>
    </w:p>
    <w:p>
      <w:pPr>
        <w:pStyle w:val="Heading2"/>
      </w:pPr>
      <w:r>
        <w:t>Short Hypothesis</w:t>
      </w:r>
    </w:p>
    <w:p>
      <w:r>
        <w:t>Increasing provenance-coverage (the percent of salient output features with verifiable training traces) causally reduces naive viewers' composite perceived-creativity scores for AI-generated artworks.</w:t>
      </w:r>
    </w:p>
    <w:p>
      <w:r>
        <w:t xml:space="preserve"> </w:t>
      </w:r>
    </w:p>
    <w:p>
      <w:pPr>
        <w:pStyle w:val="Heading2"/>
      </w:pPr>
      <w:r>
        <w:t>Related Work</w:t>
      </w:r>
    </w:p>
    <w:p>
      <w:r>
        <w:t>Prior work interrogates whether AI systems can be called creative, documents cases of AI art (GANs like Edmond de Belamy, DeepDream, AICAN), and develops attribution tools (nearest-neighbor in embeddings, influence functions, representer points, membership inference). Psychometric work has produced ad-hoc creativity ratings and some perceived-creativity scales, while legal scholarship highlights authorship and IP ambiguities. Limitations: existing studies are largely observational or descriptive, lack causal interventions that alter training or provenance disclosure, rely on single attribution tools vulnerable to embedding drift and false positives, do not calibrate metrics against ground-truth provenance, and rarely combine validated human ratings with reproducible provenance measures. There is no widely validated pipeline that links causal probes (goal-reversal, persistence, error-correction), quantitative provenance scores, and psychometric judgments under pre-registered analysis rules.</w:t>
      </w:r>
    </w:p>
    <w:p>
      <w:r>
        <w:t xml:space="preserve"> </w:t>
      </w:r>
    </w:p>
    <w:p>
      <w:pPr>
        <w:pStyle w:val="Heading2"/>
      </w:pPr>
      <w:r>
        <w:t>Abstract</w:t>
      </w:r>
    </w:p>
    <w:p>
      <w:r>
        <w:t>This study tests whether and how provenance transparency changes human attributions of creativity for artifacts produced by opaque generative models. We combine causal probes on models (goal-reversal, cross-context persistence, error-correction) with quantitative provenance metrics (provenance-coverage percent, explanation-completeness score, causal-trace R2) and a validated perceived-creativity battery to measure human judgments. We use synthetic ground-truth benchmarks to calibrate and pre-register probe thresholds, then apply the probes to case studies including a reproduction of Edmond de Belamy across controlled transparency conditions. We randomize provenance disclosure to raters and use an instrumental-variable design (injected watermark exemplars) to identify causal contributions of training subsets. The main contribution is a reproducible pipeline linking model-level causal evidence and provenance quantification to human judgments, enabling clear tests of attribution claims about 'creative AI.' Expected outcomes are calibrated provenance metrics, validated psychometrics, and causal estimates of how provenance affects perceived creativity and intentionality.</w:t>
      </w:r>
    </w:p>
    <w:p>
      <w:r>
        <w:t xml:space="preserve"> </w:t>
      </w:r>
    </w:p>
    <w:p>
      <w:pPr>
        <w:pStyle w:val="Heading2"/>
      </w:pPr>
      <w:r>
        <w:t>Methodology</w:t>
      </w:r>
    </w:p>
    <w:p>
      <w:r>
        <w:t>1) Build synthetic ground-truth corpora: create small datasets where every training example has an ID and known mixing weights. This gives us true provenance to test tools. (A mixing weight is a known fraction showing how much a training example influences outputs.) 2) Train compact generative models (small GANs and diffusion models) on these corpora to validate probes and set thresholds. 3) Implement provenance tools: nearest-neighbor retrieval in multiple embeddings (CLIP and pixel/latent spaces), representer-point and influence-function estimators, and membership-inference tests. Explain: nearest-neighbor finds training items closest to an output in a chosen embedding (a numerical summary of content); representer points estimate which training points most affect a prediction. 4) Define provenance metrics: provenance-coverage (%) = percent of salient output features with high-confidence traces; explanation-completeness (0-100) = weighted presence of artifacts (checkpoints, seeds, loss curves, traces); causal-trace = R2 from ablation regressions. 5) Implement causal probes on models: (A) Goal-reversal: change loss or fine-tune objective mid-training and measure shift in goal-aligned metrics. (B) Cross-context persistence: evaluate goal-consistency index on novel input domains. (C) Error-correction: introduce noisy feedback or remove subsets and measure adaptive-rate slope. 6) Instrumental-variable (IV) design: inject a small set of synthetic, trackable exemplars or a watermark during training; use presence of watermark signals as an instrument for causal contribution of that subset. 7) Perceived-creativity battery: prepare 7-point Likert items (novelty, originality, aesthetic value, technical craft, perceived intentionality, willingness-to-pay) plus forced-choice authorship and a 2–4 sentence meta-sensemaking prompt. 8) Pilot psychometrics (N≈60) for EFA, then main samples (naïve N≈300, experts N≈100) for CFA and reliability. 9) Pre-register thresholds, primary estimands, statistical models, fusion rules for provenance ensemble (e.g., trust-weighted voting described below), and analysis scripts. 10) Containerize code and record provenance of experiments for reproducibility.</w:t>
      </w:r>
    </w:p>
    <w:p>
      <w:r>
        <w:t xml:space="preserve"> </w:t>
      </w:r>
    </w:p>
    <w:p>
      <w:pPr>
        <w:pStyle w:val="Heading2"/>
      </w:pPr>
      <w:r>
        <w:t>Experiments</w:t>
      </w:r>
    </w:p>
    <w:p>
      <w:r>
        <w:t>Datasets: (1) Synthetic ground-truth corpora with planted style primitives (several small sets of 5k–20k items), (2) Reproduction corpora for Edmond de Belamy-style GAN (curated open datasets used by original works where available and lawful), (3) Case study corpora for AICAN and DeepDream equivalents or lawful surrogates. Baselines: (A) no-provenance disclosure (raters see only artifact), (B) partial provenance disclosure (provenance-coverage set to ~40%), (C) full provenance disclosure (provenance-coverage &gt;90% via synthetic exemplars and artifacts), (D) human-authored comparable artworks. Metrics: provenance-coverage (%), explanation-completeness (0–100), causal-trace R2, embedding-novelty percentile (CLIP and latent Euclidean), perceived-creativity composite score (mean of selected Likert items), perceived-intentionality score, authorship forced-choice proportions, goal-consistency index, counterfactual-response score, adaptive-rate slope. Experimental setup: 1) Calibration phase: train small models on synthetic corpora; run probes to calibrate top-k thresholds and estimate sensitivity/specificity for each provenance tool. 2) Model interventions: for each target model, run goal-reversal, cross-context persistence, and error-correction probes; record provenance metrics before and after interventions. 3) IV test: train parallel models with and without injected watermark exemplars; generate matched outputs and use two-stage least squares (2SLS) to estimate causal share of watermarked subset on generation probability of features. Report weak-IV diagnostics (first-stage F-statistic). 4) Human-subjects: expose naive raters (N≈300) and experts (N≈100) to randomized artifact conditions (artifact × provenance-disclosure × framing). Use mixed-effects models: perceived_creativity ~ provenance_coverage * framing * expertise + (1|rater) + (1|stimulus). 5) Fusion/ablation study: compare provenance ensemble decision rules—simple majority voting across tools, trust-weighted voting (weights from synthetic calibration sensitivity), and Bayesian fusion that outputs a posterior probability of provenance—report concordance thresholds used for high-confidence verdicts. 6) Ablation studies: (i) remove single provenance tool from ensemble to measure effect on provenance-coverage and downstream perceived-creativity; (ii) vary embedding spaces (CLIP vs ResNet) to test embedding-bias effects; (iii) remove watermark IV to test identification. Statistical tests: report effect sizes, 95% CIs, p-values with FDR correction, 2SLS estimates with weak-IV tests, and bootstrap CIs for provenance metrics. Power: pilot N≈60 for EFA; full-sample powered at 0.8 to detect d≈0.3 in perceived-creativity; IV power calculations to be pre-registered with assumed first-stage F&gt;10.</w:t>
      </w:r>
    </w:p>
    <w:p>
      <w:r>
        <w:t xml:space="preserve"> </w:t>
      </w:r>
    </w:p>
    <w:p>
      <w:pPr>
        <w:pStyle w:val="Heading2"/>
      </w:pPr>
      <w:r>
        <w:t>Risk Factors And Limitations</w:t>
      </w:r>
    </w:p>
    <w:p>
      <w:r>
        <w:t>Technical failure modes: provenance tools can give false positives due to embedding drift, near-duplicates, or sampling stochasticity; influence-function estimates may be unstable for large models; injected watermarks may be weak instruments (weak-IV risk). Data and evaluation biases: embedding spaces (e.g., CLIP) reflect cultural and language biases that skew novelty and similarity scores; human rater samples may not generalize across cultures or art communities. Scalability and compute: running causal probes and ablations on large GAN/diffusion models is compute-intensive and may be limited to small-scale reproductions; synthetic benchmarks may not capture complexities of real-world corpora. Generalization limits: Phase-1 findings on Edmond de Belamy and similar cases may not transfer to other genres, modalities, or non-Western art traditions. Legal and ethical constraints: copyright and privacy regulations may block full release of exemplars, limiting reproducibility; injecting synthetic exemplars into public datasets could raise consent or legal concerns. Interpretive limits: provenance-coverage and causal-trace are proxies and do not fully resolve philosophical questions about intentionality or creativity; human judgments of creativity are context-sensitive and may shift with framing, limiting stable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