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bayesian_irt_vdem_cohesion_africa</w:t>
      </w:r>
    </w:p>
    <w:p>
      <w:r>
        <w:t xml:space="preserve"> </w:t>
      </w:r>
    </w:p>
    <w:p>
      <w:pPr>
        <w:pStyle w:val="Heading2"/>
      </w:pPr>
      <w:r>
        <w:t>Title</w:t>
      </w:r>
    </w:p>
    <w:p>
      <w:r>
        <w:t>Bayesian multidimensional IRT and multilevel integration to measure social cohesion in Africa using Afrobarometer household data and V-Dem institutional indicators</w:t>
      </w:r>
    </w:p>
    <w:p>
      <w:r>
        <w:t xml:space="preserve"> </w:t>
      </w:r>
    </w:p>
    <w:p>
      <w:pPr>
        <w:pStyle w:val="Heading2"/>
      </w:pPr>
      <w:r>
        <w:t>Short Hypothesis</w:t>
      </w:r>
    </w:p>
    <w:p>
      <w:r>
        <w:t>Integrating V-Dem country-level institutional quality indicators into a Bayesian multidimensional IRT index of inclusive identity, trust, and cooperation causes higher predictive accuracy for district-level public-good provision than indices constructed without V-Dem integration.</w:t>
      </w:r>
    </w:p>
    <w:p>
      <w:r>
        <w:t xml:space="preserve"> </w:t>
      </w:r>
    </w:p>
    <w:p>
      <w:pPr>
        <w:pStyle w:val="Heading2"/>
      </w:pPr>
      <w:r>
        <w:t>Related Work</w:t>
      </w:r>
    </w:p>
    <w:p>
      <w:r>
        <w:t>Existing approaches measure social cohesion with survey items on trust, identity, and cooperation or with expert-coded institutional indicators. Common methods aggregate items with simple sums, standardized averages, or principal component analysis (PCA). Expert indexes (like V-Dem) capture institutional quality but are often analyzed separately from household perceptions. Limitations: many indices use arbitrary or equal weighting rules, do not propagate measurement uncertainty from item to index, fail to test measurement invariance across language/groups, lack subnational resolution, rarely integrate expert coder uncertainty, and have limited behavioral validation. Methods also underuse modern psychometrics (multidimensional IRT) and probabilistic multilevel modeling to combine household and expert data while accounting for differential item functioning (DIF). Small-area estimation (SAE) is seldom pre-specified with realistic power analyses, and cooperation measures often rely only on low-stakes lab tasks rather than multiple field proxies.</w:t>
      </w:r>
    </w:p>
    <w:p>
      <w:r>
        <w:t xml:space="preserve"> </w:t>
      </w:r>
    </w:p>
    <w:p>
      <w:pPr>
        <w:pStyle w:val="Heading2"/>
      </w:pPr>
      <w:r>
        <w:t>Abstract</w:t>
      </w:r>
    </w:p>
    <w:p>
      <w:r>
        <w:t>We address the need for a precise, operational, and policy-relevant measure of social cohesion in African settings. We define cohesion as three attributes—inclusive identity, trust, and cooperation—each operating on horizontal and vertical axes. Our approach estimates individual latent traits with a Bayesian multidimensional graded-response IRT model (IRT = Item Response Theory) applied to Afrobarometer household items, integrates V-Dem expert-coded institutional indicators as country-level predictors via multilevel structural equation models, and produces district-level estimates using Bayesian small-area estimation. Main contributions: (1) transparent, uncertainty-aware index construction using Bayesian IRT; (2) probabilistic propagation of V-Dem coder uncertainty through Monte Carlo integration; (3) pre-registered sensitivity checks for weighting, invariance, and typology rules; and (4) behavioral and administrative validation including field behavioral measures and service-use proxies. Expected outcome: a replicable, ethically governed measurement protocol that yields more valid and spatially resolved social cohesion estimates for policy use in African contexts.</w:t>
      </w:r>
    </w:p>
    <w:p>
      <w:r>
        <w:t xml:space="preserve"> </w:t>
      </w:r>
    </w:p>
    <w:p>
      <w:pPr>
        <w:pStyle w:val="Heading2"/>
      </w:pPr>
      <w:r>
        <w:t>Methodology</w:t>
      </w:r>
    </w:p>
    <w:p>
      <w:r>
        <w:t>Step 1 — Item selection and translation: assemble Afrobarometer items mapped to three attributes (inclusive identity, trust, cooperation) and mark each item as horizontal or vertical. Use forward/back translation and cognitive interviews to ensure the same meaning across languages. Explain: cognitive interview = asking respondents to explain their thinking to check understanding. Step 2 — Bayesian graded-response multidimensional IRT: estimate three latent traits per person using a graded-response IRT model. Explain: IRT models the probability that a respondent picks each survey response depending on their position on an underlying trait; graded-response handles ordered responses like Likert scales. Use weakly informative priors (for example, positive Normal priors on item discrimination and Normal priors on item thresholds). Step 3 — Measurement invariance and DIF: run multi-group confirmatory factor analysis (CFA) and Bayesian DIF checks across countries and language groups; if strict invariance fails, use alignment optimization to approximate comparable scales. Explain: DIF = items behaving differently for different groups. Step 4 — V-Dem integration: obtain V-Dem posterior draws for selected institutional indicators and propagate them into a multilevel Bayesian SEM where country-level institutional latent variables predict individual vertical-trust latent traits. Explain: Monte Carlo integration = run models repeatedly using many draws to carry expert uncertainty into final estimates. Step 5 — Index construction and weighting: compute IRT-derived latent scores with standard errors; build aggregate indices by theory-informed combinations (horizontal/vertical subscales) and perform pre-registered sensitivity analyses comparing equal-weight, PCA, and IRT information-weighted schemes. Step 6 — Subnational estimation: use Bayesian unit-level small-area estimation to produce district-level means and credible intervals, incorporating cluster-level covariates and V-Dem predictors. Explain: SAE = statistical method to estimate small-area values using models that borrow strength across units. Step 7 — Behavioral and administrative validation: collect low-stakes, opt-in trust and public-goods tasks for a randomized 20% subsample, observational cooperation measures (e.g., participation in communal work), and administrative service-use indicators (school enrollment, water access) to assess predictive validity. Step 8 — Reproducible pipeline: implement models in Stan via cmdstanr, use brms for multilevel SEM interfaces, containerize code (Docker), pre-register models, priors, and sensitivity plans. Provide clear documentation and decision logs.</w:t>
      </w:r>
    </w:p>
    <w:p>
      <w:r>
        <w:t xml:space="preserve"> </w:t>
      </w:r>
    </w:p>
    <w:p>
      <w:pPr>
        <w:pStyle w:val="Heading2"/>
      </w:pPr>
      <w:r>
        <w:t>Experiments</w:t>
      </w:r>
    </w:p>
    <w:p>
      <w:r>
        <w:t>Datasets: Afrobarometer household microdata (pilot waves for Ghana, Kenya, Senegal) with geocoded clusters; V-Dem posterior draws for selected variables (v2x_account, v2l_judicialindep, v2x_polyarchy_police, v2x_elecregfair, v2x_rule, v2x_corr); administrative district-level public-good indicators where available (e.g., school enrollment rates, piped water access); pilot behavioral subsample data (20% random opt-in). Baselines: 1) equal-weighted standardized subscales (sum/mean), 2) PCA-derived index, 3) unidimensional IRT index, 4) Bayesian IRT without V-Dem integration. Proposed model: Bayesian multidimensional graded-response IRT + multilevel SEM integrating V-Dem posterior draws + Bayesian unit-level SAE. Evaluation metrics: predictive RMSE for district-level administrative outcomes, coverage of 90% credible intervals (proportion containing true district values), latent-trait recovery RMSE in simulation (difference between true and estimated latent scores), DIF detection power (true positive rate) and false positive rate, model fit indices (ΔCFI, ΔRMSEA), calibration slope for predicted vs observed outcomes, classification accuracy and entropy for latent-class cohesion typologies, and computational diagnostics (R-hat&lt;1.05, effective sample size). Experimental setup: Pilot sample size ~1,000 respondents per country; 30–40 clusters per country; behavioral subsample ~200 respondents per country. MCMC settings: 4 chains, 2000 iterations, 1000 warmup (adjust as needed for ESS), report R-hat and ESS. Monte Carlo propagation: integrate 500 V-Dem posterior draws into multilevel SEM and average posterior summaries. Cross-validation: within-country 5-fold predictive checks and leave-one-country-out for external validity. Ablation studies: A) remove V-Dem integration (compare predictive RMSE); B) replace IRT weighting with equal-weight and PCA (compare index correlations and outcome prediction); C) exclude behavioral validation (assess decline in criterion validity); D) vary priors (weak vs tighter) and report sensitivity. Simulation study: generate synthetic populations with known latent traits and DIF patterns; vary cluster counts, ICC (0.01,0.05,0.10), and per-district sample sizes (50, 100, 400) to evaluate SAE credible-interval width and latent recovery. Pre-registration: register models, priors, weighting rules, DIF thresholds, and typology cutoffs before analysis.</w:t>
      </w:r>
    </w:p>
    <w:p>
      <w:r>
        <w:t xml:space="preserve"> </w:t>
      </w:r>
    </w:p>
    <w:p>
      <w:pPr>
        <w:pStyle w:val="Heading2"/>
      </w:pPr>
      <w:r>
        <w:t>Risk Factors And Limitations</w:t>
      </w:r>
    </w:p>
    <w:p>
      <w:r>
        <w:t>Technical failure modes: Bayesian models may not converge (high R-hat, low effective sample size) for small samples or many items; Monte Carlo propagation of V-Dem draws increases compute and can fail if draws are inconsistent. Data biases: Afrobarometer nonresponse, social desirability, and interviewer effects may bias estimates; list experiments and randomized response may still leave residual bias. DIF and invariance limits: items may exhibit irreducible DIF across languages or groups, limiting comparability. Subnational data limits: many districts will have small sample sizes, producing wide credible intervals and low policy usefulness without oversampling. Behavioral validation limits: opt-in subsamples may be nonrepresentative and low-stakes tasks may not generalize to real-world cooperation. V-Dem risks: expert coder uncertainty and potential political sensitivity at subnational level; subnational extension may create confidentiality and safety risks. Scalability and compute: complex Bayesian models require substantial CPU/RAM and time; cloud/HPC cost may be high. Generalization limits: pilot results from Ghana, Kenya, and Senegal may not generalize across all African contexts, especially where social structures or informal authorities differ. Ethical/political constraints: collecting sensitive trust and governance data may raise safety or regulatory barriers in some settings, restricting data release and analysis.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