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effort_as_resistance</w:t>
      </w:r>
    </w:p>
    <w:p>
      <w:r>
        <w:t xml:space="preserve"> </w:t>
      </w:r>
    </w:p>
    <w:p>
      <w:pPr>
        <w:pStyle w:val="Heading2"/>
      </w:pPr>
      <w:r>
        <w:t>Title</w:t>
      </w:r>
    </w:p>
    <w:p>
      <w:r>
        <w:t>Multimodal test of the resistance account of effort: linking affective drive, control commands, and neural signatures using hierarchical Bayesian modeling</w:t>
      </w:r>
    </w:p>
    <w:p>
      <w:r>
        <w:t xml:space="preserve"> </w:t>
      </w:r>
    </w:p>
    <w:p>
      <w:pPr>
        <w:pStyle w:val="Heading2"/>
      </w:pPr>
      <w:r>
        <w:t>Short Hypothesis</w:t>
      </w:r>
    </w:p>
    <w:p>
      <w:r>
        <w:t>Increasing affective drive (e.g., hunger-induced craving) causes higher subjective effort reports via larger control/resistance commands (c_t), accompanied by increased anterior insula and dACC activity, independent of opportunity-cost signals.</w:t>
      </w:r>
    </w:p>
    <w:p>
      <w:r>
        <w:t xml:space="preserve"> </w:t>
      </w:r>
    </w:p>
    <w:p>
      <w:pPr>
        <w:pStyle w:val="Heading2"/>
      </w:pPr>
      <w:r>
        <w:t>Related Work</w:t>
      </w:r>
    </w:p>
    <w:p>
      <w:r>
        <w:t>Prior work explains effort either as a cost or opportunity-cost signal that reduces willingness to exert control, or as a product of interoceptive prediction errors and control dynamics. Neuroimaging studies implicate anterior insula, dACC, vmPFC and ventral striatum in effort, valuation, and interoception, while MVPA studies have probed pattern generalization across tasks. Limitations include reliance on aggregate or block-level measures rather than trialwise affective drive, weak integration of peripheral physiology into latent drive estimates, underpowered MVPA or single-trial GLM designs for realistic fMRI noise, limited preregistered priors for hierarchical models, and ambiguity separating valence-specific drives from general arousal. Existing computational proposals often lack explicit, recoverable mappings between subjective effort reports and latent control signals, and many studies do not test cross-domain generalization of effort representations.</w:t>
      </w:r>
    </w:p>
    <w:p>
      <w:r>
        <w:t xml:space="preserve"> </w:t>
      </w:r>
    </w:p>
    <w:p>
      <w:pPr>
        <w:pStyle w:val="Heading2"/>
      </w:pPr>
      <w:r>
        <w:t>Abstract</w:t>
      </w:r>
    </w:p>
    <w:p>
      <w:r>
        <w:t>This project tests the resistance account of effort, which holds that the felt experience of effort arises when an agent resists directed valenced signals (for example hunger or temptation) rather than from abstract opportunity costs. We combine behavioral trials, peripheral physiology, fMRI, and EEG/behavioral sessions with explicit hierarchical Bayesian models to recover trialwise affective drive (d_t) and control command (c_t). Main contributions are (1) a multimodal, preregistered pipeline that constructs a cross-validated physiological d_t index and maps a validated 4-item trialwise resistance scale to latent c_t, (2) formalized competing hierarchical models (Resistance, Predictive-Interoceptive Mismatch, EVC) with explicit priors and simulation-based parameter-recovery targets, and (3) neuroimaging tests of predicted insula→dACC coupling and cross-domain MVPA generalization. Expected outcomes are recoverable trialwise latent variables, stronger predictive accuracy for the resistance model versus alternatives, and reproducible neural correlates linking valenced drive to subjective effort.</w:t>
      </w:r>
    </w:p>
    <w:p>
      <w:r>
        <w:t xml:space="preserve"> </w:t>
      </w:r>
    </w:p>
    <w:p>
      <w:pPr>
        <w:pStyle w:val="Heading2"/>
      </w:pPr>
      <w:r>
        <w:t>Methodology</w:t>
      </w:r>
    </w:p>
    <w:p>
      <w:r>
        <w:t>Overview: Implement a within-subject temptation/hunger task with orthogonal affective drive (fasted vs sated) and incentive manipulations. Collect trialwise subjective resistance ratings, peripheral physiology, fMRI (N=48), and a separate high-trial EEG/behavior cohort (N=30). Compute a trialwise affective drive index d_t from physiological features and craving ratings, fit hierarchical Bayesian models to infer control commands c_t, and test neural regressions and MVPA.</w:t>
        <w:br/>
        <w:br/>
        <w:t>Task and measurements: Use short trials with stimulus presentation, a fixed physio window, then a 0-100 slider 4-item resistance probe. Physiological signals: pupil, EDA, ECG, respiration, EMG. Preprocess each signal and extract per-trial features: pupil peak/AUC, SCR peak, ΔHR, EMG RMS. Z-score features per subject.</w:t>
        <w:br/>
        <w:br/>
        <w:t>Affective drive index d_t: Reduce dimensionality using regularized PCA and derive a weighted z-sum whose weights are optimized by nested cross-validation to predict trialwise craving. Explain: PCA is a method that finds main patterns in many signals; regularized PCA prevents overfitting. We will publish weights and run leave-one-modality-out checks.</w:t>
        <w:br/>
        <w:br/>
        <w:t>Modeling: Preregister three hierarchical Bayesian models with explicit equations and weakly informative priors. Resistance model maps subjective effort to |c_t| where c_t follows control dynamics driven by d_t. Predictive-interoceptive model maps effort to integrated interoceptive prediction error. EVC model maps effort to control cost functions. Implement models in Stan or PyMC with hierarchical pooling, diagnostic checks R_hat&lt;1.05 and ESS&gt;200, and prior sensitivity analyses.</w:t>
        <w:br/>
        <w:br/>
        <w:t>Neuroimaging: Build trialwise GLMs with parametric modulators d_t and inferred c_t. Use RETROICOR, CompCor, and ICA-AROMA denoising. Univariate smoothing 6 mm FWHM; MVPA on minimally smoothed native-space data (2 mm). Define ROIs for anterior insula, dACC, vmPFC, VS, amygdala, PAG. Use TFCE FWE correction for whole-brain and FDR for ROI tests.</w:t>
        <w:br/>
        <w:br/>
        <w:t>Inference: Compare models by PSIS-LOO and 10-fold cross-validated predictive accuracy. Report ΔELPD, posterior probabilities, posterior predictive checks, and parameter recovery metrics (Pearson r and RMSE). For MVPA use within-subject leave-one-run-out and cross-domain train/test with permutation testing.</w:t>
      </w:r>
    </w:p>
    <w:p>
      <w:r>
        <w:t xml:space="preserve"> </w:t>
      </w:r>
    </w:p>
    <w:p>
      <w:pPr>
        <w:pStyle w:val="Heading2"/>
      </w:pPr>
      <w:r>
        <w:t>Experiments</w:t>
      </w:r>
    </w:p>
    <w:p>
      <w:r>
        <w:t>Datasets: Pilot behavioral N=40 with 100-120 trials across two sessions; fMRI cohort N=48, two runs ≈40–50 min each targeting ~120 usable trials per domain; EEG/behavior cohort N=30 with ≈200 trials each. Stimuli: parametrically graded food temptation images balanced for perceptual salience. Baselines: (A) Resistance hierarchical Bayesian model, (B) Predictive-Interoceptive Mismatch model, (C) EVC/opportunity-cost model. Additional baselines: non-valenced difficulty trials and models omitting physiological regressors.</w:t>
        <w:br/>
        <w:br/>
        <w:t>Evaluation metrics: Scale reliability ICC for the 4-item resistance scale (target ICC&gt;0.70). Parameter recovery: Pearson r between true and recovered trialwise c_t and d_t (target r≥0.80) and RMSE&lt;15% of parameter range. Model comparison: PSIS-LOO ΔELPD and 10-fold cross-validated predictive accuracy; model preferred if ΔELPD&gt;10 and &gt;95% posterior probability. Neural metrics: ROI univariate effect sizes, TFCE FWE p&lt;0.05 whole-brain, ROI FDR q&lt;0.05. MVPA decoding: accuracy and AUC in ROI, within-subject leave-one-run-out, permutation testing ≥5000 permutations; preregistered expected Cohen's d ~0.5 for cross-domain ROI decoding.</w:t>
        <w:br/>
        <w:br/>
        <w:t>Experimental setup: MRI parameters TR=2000 ms, multiband=3, voxel 2.0 mm isotropic. Physio sampling pupil 500 Hz, ECG 1000 Hz, EDA 500 Hz, respiration 500 Hz, EMG 1000 Hz. Trial timing: baseline 1 s, stimulus 2 s, post-stim fixation 2 s (physio window), subjective probe 3 s, ITI jitter 2–6 s. Preprocessing: RETROICOR + CompCor + ICA-AROMA; motion censor FD threshold 0.5 mm in preregistration with sensitivity checks at 0.2 and 0.3 mm.</w:t>
        <w:br/>
        <w:br/>
        <w:t>Comparisons and ablations: 1) Ablate physiological regressors to test value of d_t in recovery and model comparison. 2) Compare mapping of the 4-item scale to c_t using latent factor scores versus raw averaged scores. 3) Vary trial counts in simulations (60, 100, 150, 200) to test parameter recovery. 4) MVPA ablation: compare unsmoothed vs 2 mm smoothing. All analyses use preregistered code and seeds; simulations: 1,000 synthetic datasets for recovery and power curves.</w:t>
      </w:r>
    </w:p>
    <w:p>
      <w:r>
        <w:t xml:space="preserve"> </w:t>
      </w:r>
    </w:p>
    <w:p>
      <w:pPr>
        <w:pStyle w:val="Heading2"/>
      </w:pPr>
      <w:r>
        <w:t>Risk Factors And Limitations</w:t>
      </w:r>
    </w:p>
    <w:p>
      <w:r>
        <w:t>Technical failures: poor signal-to-noise ratio in small structures (PAG, amygdala) or high motion leading to loss of trials or subjects. Physiological measurement failures: sensor dropouts or synchronization errors. Data and evaluation biases: hunger manipulation may correlate with arousal, confounding valence-specific interpretations. Scale limitations: the 4-item resistance scale may show low within-subject variance or fail to map cleanly to latent c_t. Modeling limits: hierarchical Bayesian models may not converge or parameters may not be identifiable under realistic noise, especially for single-trial recovery. Scalability and compute: HBA fits with large trial counts and simulations require substantial compute time and memory. Generalization limits: findings in hunger/temptation may not transfer to other affective domains without new data and may reflect domain-specific interoceptive signals. Ethical and practical constraints: fasting manipulation limits participant pools and may affect recruitment and retention. Measurement overlap: slow physiological signals (SCR, HR) may overlap across trials and complicate trialwise estimation.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