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history_therapy_ht</w:t>
      </w:r>
    </w:p>
    <w:p>
      <w:r>
        <w:t xml:space="preserve"> </w:t>
      </w:r>
    </w:p>
    <w:p>
      <w:pPr>
        <w:pStyle w:val="Heading2"/>
      </w:pPr>
      <w:r>
        <w:t>Title</w:t>
      </w:r>
    </w:p>
    <w:p>
      <w:r>
        <w:t>History Therapy modules: structured exposure to curated historical worldviews to support meaning-making and improve psychological well-being</w:t>
      </w:r>
    </w:p>
    <w:p>
      <w:r>
        <w:t xml:space="preserve"> </w:t>
      </w:r>
    </w:p>
    <w:p>
      <w:pPr>
        <w:pStyle w:val="Heading2"/>
      </w:pPr>
      <w:r>
        <w:t>Short Hypothesis</w:t>
      </w:r>
    </w:p>
    <w:p>
      <w:r>
        <w:t>Structured exposure to curated historical worldview modules increases Presence of Meaning (MLQ-Presence) at 3 months relative to an active psychoeducation control, mediated by increases in epistemic decentering and narrative complexity.</w:t>
      </w:r>
    </w:p>
    <w:p>
      <w:r>
        <w:t xml:space="preserve"> </w:t>
      </w:r>
    </w:p>
    <w:p>
      <w:pPr>
        <w:pStyle w:val="Heading2"/>
      </w:pPr>
      <w:r>
        <w:t>Related Work</w:t>
      </w:r>
    </w:p>
    <w:p>
      <w:r>
        <w:t>Existing approaches combine narrative therapy, bibliotherapy, meaning-centered psychotherapy, and culturally adapted psychosocial interventions. Narrative therapy and bibliotherapy use stories to change self-narratives but rarely use systematic historical worldviews as structured modules. Meaning-centered therapies target presence of meaning but do not operationalize cross-cultural, historically grounded perspective exposure. Digital curation and e-health platforms support scalable delivery but often lack provenance metadata, cultural co-design, and safety gating for identity-sensitive content. Measurement work provides validated scales for meaning, depression, and narrative identity, yet there is limited short validated instrumentation for worldview orientation and few protocols ensuring measurement invariance across cultural modules. Process studies emphasize reflection and integration but do not combine annotated historical content, rigorous cultural liaison procedures, and mixed-methods mediation testing. Limitations include weak cross-cultural validation, inconsistent safety monitoring for identity destabilization, insufficient content provenance, and lack of pre-specified mediation strategies.</w:t>
      </w:r>
    </w:p>
    <w:p>
      <w:r>
        <w:t xml:space="preserve"> </w:t>
      </w:r>
    </w:p>
    <w:p>
      <w:pPr>
        <w:pStyle w:val="Heading2"/>
      </w:pPr>
      <w:r>
        <w:t>Abstract</w:t>
      </w:r>
    </w:p>
    <w:p>
      <w:r>
        <w:t>This study addresses whether a structured, interdisciplinary intervention—History Therapy (HT)—can facilitate meaning-making and improve psychological well-being by exposing participants to curated historical worldviews with guided reflection. HT composes pedagogical modules that present diverse historical paradigms (e.g., Stoicism, Confucian ethics, Indigenous relational cosmologies, Enlightenment individualism) with contextual annotations, reflective prompts, and facilitator-led integration. The primary contribution is an operationalized, replicable intervention package plus measurement instruments (a History Therapy Worldview Inventory) and a mixed-methods evaluation plan to test mechanisms: epistemic decentering and narrative reconstruction. We expect HT to produce larger increases in Presence of Meaning at three months than an active, matched psychoeducation control, with mediation via increased worldview complexity and narrative coherence. The expected impact is a reproducible framework linking cultural-historical content to measurable psychological change, informing culturally sensitive therapeutic tools and scalable digital deployments.</w:t>
      </w:r>
    </w:p>
    <w:p>
      <w:r>
        <w:t xml:space="preserve"> </w:t>
      </w:r>
    </w:p>
    <w:p>
      <w:pPr>
        <w:pStyle w:val="Heading2"/>
      </w:pPr>
      <w:r>
        <w:t>Methodology</w:t>
      </w:r>
    </w:p>
    <w:p>
      <w:r>
        <w:t>1) Module curation: assemble 4–6 historical worldview modules. Each module includes short primary excerpts, concise historiographical context, content warnings, provenance metadata (source, cultural owner), and 3 structured reflective prompts. 2) Cultural co-design: engage cultural liaisons with MOUs, iterative review cycles, explicit veto rights, honoraria, and translation/back-translation plus cognitive interviews. 3) Delivery format: eight weekly modules delivered group-wise or individually with facilitator scripts; homework journaling after each module. 4) Measurement instruments: deploy MLQ-Presence (primary outcome), HT-WI (8–12 items) for worldview orientation, Self-Concept Clarity, PHQ-9, GAD-7, session distress screens, and mediator scales (epistemic decentering; worldview complexity). Epistemic decentering means the ability to step outside one’s habitual standpoint and consider other viewpoints. Worldview complexity means the degree to which a person holds multiple coherent interpretive frames. 5) Psychometrics: develop HT-WI via item pool (24 items) → cognitive interviews (n=12–20) → pilot EFA (N≈200) → CFA with targets (RMSEA ≤ .06, CFI ≥ .95). Measurement invariance means the test works similarly across groups. 6) Facilitation: 30-hour training curriculum, fidelity checklists, competency rubric. 7) Data capture and analysis: collect session-level mediators each week, aggregate mid-treatment, measure outcomes baseline/post/3mo/6mo; analyze with multilevel models and multilevel structural equation models (ML-SEM) for mediation. 8) Qualitative methods: longitudinal journals and semi-structured interviews; code for narrative coherence, agency, redemption/contamination, and pluralism. 9) Metadata and digital governance: include provenance tags, consent flags, and content gating on the delivery platform.</w:t>
      </w:r>
    </w:p>
    <w:p>
      <w:r>
        <w:t xml:space="preserve"> </w:t>
      </w:r>
    </w:p>
    <w:p>
      <w:pPr>
        <w:pStyle w:val="Heading2"/>
      </w:pPr>
      <w:r>
        <w:t>Experiments</w:t>
      </w:r>
    </w:p>
    <w:p>
      <w:r>
        <w:t>1) Pilot feasibility: N=50 across 1 site; objective: test delivery, consent flows, safety triggers. 2) Psychometric pilot: N=200 across 3 sites (~65/site) to run EFA on HT-WI (24-item pool), refine to 8–12 items. Criteria: Cronbach's alpha/omega ≥ .80; CFA on retained items with RMSEA ≤ .06 and CFI ≥ .95. 3) Randomized controlled trial (primary): two-arm, parallel RCT with active control (values-based psychoeducation matched for length, reading level, facilitator contact). Target N=450 total (225/arm) to detect small indirect mediation effects (standardized ab≈0.10) with 80% power; this N also supports clustered design accounting for design effect DE=1+(m-1)*ICC (example ICC=0.05, m=8). Randomization stratified by site and baseline MLQ. 4) Outcomes and timing: measures at baseline, post-treatment (week 8), 3 months (primary endpoint), and 6 months. Primary metric: change in MLQ-Presence baseline→3 months analyzed with linear mixed-effects model (random intercepts for participant and site) using R (lme4). Covariates: baseline MLQ, CEQ expectancy, demographics. 5) Mediation: ML-SEM with time-lagged mediator (mediator measured after session 4), bootstrap 95% CIs (lavaan or Mplus). 6) Baselines: active control as above, and secondary comparison to waitlist if feasible. 7) Ablation studies: (A) remove structured reflective prompts from HT modules, (B) deliver modules without cultural co-design annotations, (C) HT with facilitator vs. HT self-guided. Compare effects on primary outcome and mediators. 8) Measurement invariance tests: predefine groups (language, major cultural affiliation, age bands); require minimum N=200 per group for full invariance tests; if failure, test partial invariance and report group-wise item biases. 9) Qualitative evaluation: purposive subsample n=40 for interviews (post and 3mo) and double-code 20% transcripts; compute ICC target ≥ .75. 10) Evaluation metrics: primary p&lt;0.05 for MLQ change, effect sizes (Cohen's d), Cronbach's alpha/omega, CFA fit indices (RMSEA, CFI), mediation indirect effect size and bootstrap CI, retention and adverse event rates. Software: R (lme4, lavaan), Python for data ETL.</w:t>
      </w:r>
    </w:p>
    <w:p>
      <w:r>
        <w:t xml:space="preserve"> </w:t>
      </w:r>
    </w:p>
    <w:p>
      <w:pPr>
        <w:pStyle w:val="Heading2"/>
      </w:pPr>
      <w:r>
        <w:t>Risk Factors And Limitations</w:t>
      </w:r>
    </w:p>
    <w:p>
      <w:r>
        <w:t>1) Cultural harm and appropriation: curated historical content may misrepresent or offend communities; reliance on liaisons may be imperfect. 2) Identity destabilization: modules can trigger distress or destabilize self-concept; short follow-ups may miss longer-term harm. 3) Measurement non-invariance: HT-WI or other scales may not perform equally across cultural groups, limiting comparisons. 4) Sample and recruitment bias: participants likely self-select for meaning-seeking, limiting generalizability. 5) Safety detection limits: passive signals and session screens may miss subtle or delayed harms. 6) Technical scalability: secure, multi-site digital deployment requires resources; computation and storage costs grow with recordings and transcripts. 7) Qualitative coding variability: achieving high ICC may require extensive training and time. 8) Statistical power constraints: mediation detection for small indirect effects requires large N (≈450); underpowered studies risk false negatives. 9) Platform and data governance risks: cross-jurisdictional legal constraints (GDPR/HIPAA) and consent revocation complexity. 10) Limited external validity: effects may not generalize to populations with low literacy or different help-seeking norms.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