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single_indent_eh_sibhudu</w:t>
      </w:r>
    </w:p>
    <w:p>
      <w:r>
        <w:t xml:space="preserve"> </w:t>
      </w:r>
    </w:p>
    <w:p>
      <w:pPr>
        <w:pStyle w:val="Heading2"/>
      </w:pPr>
      <w:r>
        <w:t>Title</w:t>
      </w:r>
    </w:p>
    <w:p>
      <w:r>
        <w:t>Estimating Youngs modulus and hardness of Sibhudu Middle Stone Age toolstones using a single instrumented indentation test</w:t>
      </w:r>
    </w:p>
    <w:p>
      <w:r>
        <w:t xml:space="preserve"> </w:t>
      </w:r>
    </w:p>
    <w:p>
      <w:pPr>
        <w:pStyle w:val="Heading2"/>
      </w:pPr>
      <w:r>
        <w:t>Short Hypothesis</w:t>
      </w:r>
    </w:p>
    <w:p>
      <w:r>
        <w:t>If single instrumented indentation tests, corrected with petrography‑informed FEM emulators and a fracture‑aware Bayesian inversion, produce Young's modulus (E) and hardness (H) estimates within 10% RMSE of bulk methods, then those corrected E and H estimates will significantly predict observed raw‑material selection and tool shape variation in the Sibhudu assemblage.</w:t>
      </w:r>
    </w:p>
    <w:p>
      <w:r>
        <w:t xml:space="preserve"> </w:t>
      </w:r>
    </w:p>
    <w:p>
      <w:pPr>
        <w:pStyle w:val="Heading2"/>
      </w:pPr>
      <w:r>
        <w:t>Related Work</w:t>
      </w:r>
    </w:p>
    <w:p>
      <w:r>
        <w:t>Existing approaches use instrumented indentation (including nanoindentation) and bulk methods (resonant ultrasound, bending) to measure E and H of archaeological stones. Standard inversion uses the Oliver–Pharr (OP) method to extract E and H from load–displacement curves. Prior work demonstrated that OP assumptions break down for brittle, heterogeneous rocks because of pop‑ins (sudden displacement jumps), surface cracking, and representativity failures at small contact sizes. Some studies use continuous stiffness measurement (CSM) or multiple indenter geometries, but these approaches require specialized instruments or extensive processing. FEM and RVE simulations have been used to compute correction factors, but prior pipelines often lack standardized fracture diagnostics, reproducible emulator training, lithology‑specific priors from petrography, and clear validation gates. Limits include uncontrolled bias from heterogeneity, insufficient uncertainty propagation, weak fracture‑aware statistics, and sparse cross‑validation against bulk methods.</w:t>
      </w:r>
    </w:p>
    <w:p>
      <w:r>
        <w:t xml:space="preserve"> </w:t>
      </w:r>
    </w:p>
    <w:p>
      <w:pPr>
        <w:pStyle w:val="Heading2"/>
      </w:pPr>
      <w:r>
        <w:t>Abstract</w:t>
      </w:r>
    </w:p>
    <w:p>
      <w:r>
        <w:t>We propose a practical pipeline to derive bulk stiffness (Young's modulus, E) and hardness (H) for Sibhudu Middle Stone Age toolstones from a single instrumented indentation test. The approach pairs a standardized indentation protocol (choice of Berkovich or spherical tip, hold time, and QC checks) with petrographic priors (grain counts and modal mineralogy) and FEM‑based correction emulators that translate measured indentation responses to representative bulk E and H. A fracture‑aware Bayesian inversion flags and models indents with pop‑ins or cracking rather than discarding them, and uncertainty is propagated through emulators to final posteriors. The main contribution is a reproducible, validated single‑test workflow that outputs calibrated E/H posteriors and links them to archaeological variables (raw‑material selection and tool shape). Expected outcomes are validated E/H estimates within bulk‑method tolerances and quantified evidence about whether mechanical properties predict selection and form in the Sibhudu assemblage.</w:t>
      </w:r>
    </w:p>
    <w:p>
      <w:r>
        <w:t xml:space="preserve"> </w:t>
      </w:r>
    </w:p>
    <w:p>
      <w:pPr>
        <w:pStyle w:val="Heading2"/>
      </w:pPr>
      <w:r>
        <w:t>Methodology</w:t>
      </w:r>
    </w:p>
    <w:p>
      <w:r>
        <w:t>1) Sample selection and petrography: choose specimens across lithologies present at Sibhudu (silicified sediment, quartzite, hornfels, dolerite, jasper). For each indent region prepare an adjacent thin section and count ≥300 grains to obtain grain‑size distribution, modal mineralogy (%) and fabric orientation. Record porosity and microcrack observations with SEM. (RVE note: RVE = representative volume element; it is the sample volume large enough that properties appear uniform.)</w:t>
        <w:br/>
        <w:br/>
        <w:t>2) 3D imaging and mapping: scan each specimen (whole scan at ≤200 µm, ROI micro‑scan ≤50 µm). Register indent coordinates to the mesh and photo/SEM images.</w:t>
        <w:br/>
        <w:br/>
        <w:t>3) Pilot indentation to set loads: run pilot indents to choose load producing contact radius a meeting a/g ≥3 (g = mean grain size); prefer a/g ≥5 and contact depth d meeting d/g ≥1. Use Berkovich when a ≥3g; switch to spherical diamond (R = 100–500 µm) when a &lt;3g or pilot shows frequent pop‑ins. Loading protocol: ramp load at a constant rate chosen to reach target peak within 5–60 s, hold at peak 30 s to record creep (time‑dependent displacement), then unload. (Creep = slow additional displacement held at peak load.)</w:t>
        <w:br/>
        <w:br/>
        <w:t>4) Calibration and QC: calibrate tip area function and machine compliance on fused silica. Run fused‑silica checks every 50 indents or hourly. Accept fused‑silica reduced modulus within ±3% and hardness ±5% of nominal. Record environmental metadata (temperature ±1°C, RH ±5%).</w:t>
        <w:br/>
        <w:br/>
        <w:t>5) Automatic fracture diagnostics: compute baseline noise σ_load and σ_disp from pre‑load segments. Flag pop‑ins when displacement jump &gt;5·σ_disp or when dP/dh change &gt;3·σ; flag load drops when ΔP/P_prev &gt;5% and &gt;3·σ_load. Annotate indents with visible surface cracks from optical/SEM images.</w:t>
        <w:br/>
        <w:br/>
        <w:t>6) Primary inversion and routing: for indents passing fracture thresholds, apply Oliver–Pharr (OP) or spherical contact inversion to extract apparent E_op and H_op. For flagged indents route to a fracture branch: retain for fracture‑aware modelling (see step 8) rather than simple deletion.</w:t>
        <w:br/>
        <w:br/>
        <w:t>7) FEM RVE ensemble and emulator: build stochastic 3D RVEs from petrographic inputs (stereological volume fractions from thin sections). Sweep porosity, mineral contrast, grain aspect ratio and fabric to sample parameter space. For each RVE simulate indents (Berkovich equivalent cone or spherical) and compute true homogenized E_true/H_true and apparent E_op/H_op. Fit an emulator (heteroscedastic Gaussian process) mapping inputs (d/a, porosity, anisotropy metrics, grain stats) to correction factors f_E = E_true/E_op and f_H = H_true/H_op. Archive all seeds and meshes.</w:t>
        <w:br/>
        <w:br/>
        <w:t>8) Bayesian inversion and uncertainty propagation: create a hierarchical Bayesian model where per‑indent E_op/H_op posteriors are multiplied by emulator draws of f_E/f_H to produce corrected E/H posterior samples. Model fractured indents using a two‑component mixture: component A (elastic) uses OP inversion; component B (fracture) uses a censored or inflated likelihood. Let P(fracture) be regressed on d/a, a/g, surface roughness and petrographic features. Require Rhat &lt;1.05 and ESS &gt;200 for MCMC diagnostics.</w:t>
        <w:br/>
        <w:br/>
        <w:t>9) Validation and gating: validate corrected E/H against bulk methods (resonant ultrasound spectroscopy or 4‑point bending) on matched specimen subsets. Perform synthetic recovery tests using simulated indents with added noise. Accept results for archaeological interpretation only if RMSE ≤10% and no systematic bias.</w:t>
        <w:br/>
        <w:br/>
        <w:t>10) Archaeological linkage: aggregate corrected E/H posteriors by artifact region and model relationships to tool metrics (edge angle, thickness, flake dimensions) using hierarchical regression controlling for availability and reduction stage. Produce reproducible code, Docker container, and full data archive.</w:t>
      </w:r>
    </w:p>
    <w:p>
      <w:r>
        <w:t xml:space="preserve"> </w:t>
      </w:r>
    </w:p>
    <w:p>
      <w:pPr>
        <w:pStyle w:val="Heading2"/>
      </w:pPr>
      <w:r>
        <w:t>Experiments</w:t>
      </w:r>
    </w:p>
    <w:p>
      <w:r>
        <w:t>Datasets: pilot: 3–5 specimens per lithology; main: 15–20 specimens per lithology. For each specimen collect 10–15 indents across ROIs, thin sections (≥300 grain counts) per indent cluster, SEM images, 3D meshes, and matched bulk test samples (n≥5 per lithology for RUS or 4‑point bending).</w:t>
        <w:br/>
        <w:br/>
        <w:t>Baselines: (A) Oliver–Pharr inversion without correction, (B) OP + simple petrographic scaling (rule‑of‑mixtures), (C) OP + FEM emulator corrections, (D) OP + emulator + fracture‑aware Bayesian inversion (full pipeline). Also compare CSM (continuous stiffness measurement) where instrument allows.</w:t>
        <w:br/>
        <w:br/>
        <w:t>Evaluation metrics: For mechanical estimates: RMSE and mean bias vs bulk methods, Bland‑Altman limits of agreement, 95% credible interval coverage, posterior width (uncertainty). For fracture detection: sensitivity, specificity, ROC AUC, precision/recall. For archaeological predictive models: posterior predictive R2, RMSE for continuous morphometrics (e.g., edge angle), and LOO‑CV or grouped k‑fold predictive log‑score.</w:t>
        <w:br/>
        <w:br/>
        <w:t>Experimental setup: 1) Pilot stage: tune loads so a/g ≥3 and measure σ_load/σ_disp from n≈20 low‑load traces per lithology. 2) FEM ensemble: run pilot ~200 RVEs then expand to 500–2000 runs per lithology. 3) Laboratory campaign: run indents with Berkovich or spherical tips, hold 30 s at peak, fused‑silica checks every 50 indents. 4) Inversion: compute per‑indent OP posteriors (MCMC or Laplace), then apply emulator correction samples and run hierarchical Bayesian model with fracture mixture. 5) Validation: compare corrected E/H to bulk RUS/4‑pt bending on matched samples; compute RMSE and Bland‑Altman. 6) Ablation studies: (i) remove emulator corrections (A vs C), (ii) exclude fracture branch (C vs D), (iii) compare emulator models (GP vs BART). 7) Reporting: report full posterior draws, raw L–D traces, flags, emulator diagnostics, and cross‑validation metrics.</w:t>
        <w:br/>
        <w:br/>
        <w:t>Power and sample checks: use pilot variance components to confirm main sample sizes achieve detection of standardized effect Δ=0.5 with ~80% power; report final power results before main campaign.</w:t>
      </w:r>
    </w:p>
    <w:p>
      <w:r>
        <w:t xml:space="preserve"> </w:t>
      </w:r>
    </w:p>
    <w:p>
      <w:pPr>
        <w:pStyle w:val="Heading2"/>
      </w:pPr>
      <w:r>
        <w:t>Risk Factors And Limitations</w:t>
      </w:r>
    </w:p>
    <w:p>
      <w:r>
        <w:t>1) Fracture and pop‑ins: high fracture rates can reduce usable indents and bias E/H; flagged indents require reliable fracture modelling. 2) Representativity: small contacts may fail RVE criteria (a/g &lt;3 or d/g &lt;1), producing biased OP estimates and forcing use of larger tip radii or extrapolation by emulators. 3) Heterogeneity: multimodal grain distributions, seams, or alteration can produce spatially variable E/H that single indents cannot fully sample. 4) Emulator extrapolation: correction emulators are unreliable outside training bounds; out‑of‑bounds cases need bespoke FEM runs. 5) Computational cost: FEM ensembles and emulator training require hundreds to thousands of CPU‑hours; limited compute can restrict parameter sweeps. 6) Calibration and instrument differences: variation across machines (tip wear, compliance) affects comparability; cross‑lab harmonization is required. 7) Sample access and ethics: museum or site restrictions may limit destructive or surface testing, reducing sample representativity. 8) Archaeological confounding: raw‑material selection and tool shape are influenced by availability, reduction stage, and knapper behavior; mechanical predictors may be correlated but not causal. 9) Statistical power: insufficient specimens or high within‑specimen variance reduces power to detect selection effects. 10) Generalization: protocols tuned on Sibhudu lithologies may not generalize to other sites or rock types without re‑training emulators and re‑calibrating fracture detectors.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