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peircean_indexical_memory</w:t>
      </w:r>
    </w:p>
    <w:p>
      <w:r>
        <w:t xml:space="preserve"> </w:t>
      </w:r>
    </w:p>
    <w:p>
      <w:pPr>
        <w:pStyle w:val="Heading2"/>
      </w:pPr>
      <w:r>
        <w:t>Title</w:t>
      </w:r>
    </w:p>
    <w:p>
      <w:r>
        <w:t>Testing whether persistent indexical memory writes produce Peircean interpretants to resolve the language-model hall-of-mirrors problem</w:t>
      </w:r>
    </w:p>
    <w:p>
      <w:r>
        <w:t xml:space="preserve"> </w:t>
      </w:r>
    </w:p>
    <w:p>
      <w:pPr>
        <w:pStyle w:val="Heading2"/>
      </w:pPr>
      <w:r>
        <w:t>Short Hypothesis</w:t>
      </w:r>
    </w:p>
    <w:p>
      <w:r>
        <w:t>Allowing persistent, indexically-tagged memory writes causes measurable changes in internal representations that mediate improved referent reidentification and behavior compared to blocked-write controls.</w:t>
      </w:r>
    </w:p>
    <w:p>
      <w:r>
        <w:t xml:space="preserve"> </w:t>
      </w:r>
    </w:p>
    <w:p>
      <w:pPr>
        <w:pStyle w:val="Heading2"/>
      </w:pPr>
      <w:r>
        <w:t>Related Work</w:t>
      </w:r>
    </w:p>
    <w:p>
      <w:r>
        <w:t>Large language models (LLMs) and retrieval-augmented systems use statistical patterns from text and retrieval vectors but lack robust indexical grounding. Prior work on grounding and symbol grounding highlights that surface distributional signals do not guarantee links to real-world referents. Memory-augmented LLMs and extended context methods add persistence or longer context but often do not show causal evidence that memory entries become interpretants (internal signs that mediate later outputs). Probing methods reveal representational content but can be confounded by probe overfitting and leakage from prompts or session context. Causal tests in ML (interventions, ablations) are used rarely at scale on memory systems; mutual information estimators are biased in high dimensions and do not by themselves prove mediation. Existing alignment work focuses on values and behavior but seldom frames alignment as a semiotic grounding problem. Limitations: superficial distributional grounding, weak causal identification, probe reliability issues, and lack of triadic (object-agent-society) experimental tasks.</w:t>
      </w:r>
    </w:p>
    <w:p>
      <w:r>
        <w:t xml:space="preserve"> </w:t>
      </w:r>
    </w:p>
    <w:p>
      <w:pPr>
        <w:pStyle w:val="Heading2"/>
      </w:pPr>
      <w:r>
        <w:t>Abstract</w:t>
      </w:r>
    </w:p>
    <w:p>
      <w:r>
        <w:t>This project studies whether and how persistent, indexically-labeled memory writes enable language models to form Peircean interpretants and thereby escape a "hall of mirrors" of purely linguistic reflection. We operationalize an interpretant as an internal signal R that (1) changes when a memory write W is made, and (2) causally mediates later sign use S about an external object O. The approach combines randomized intervention primitives (write gating, read suppression, deterministic replay/ablation) with a hybrid memory prototype, a calibrated probe battery (linear probes, small MLPs, representational similarity analysis), and robust causal estimands (average treatment effect of W on S, delta R2 under do-interventions, and MI_do as supplementary evidence). The main contribution is a reproducible experimental protocol and evaluation suite that can decide whether LLMs achieve indexical grounding via memory. Expected outcomes are clear, falsifiable criteria for semiotic grounding, empirical measures of mediation, and an open prototype for reproducible triadic tasks that reframe alignment as an engineering and epistemic grounding problem.</w:t>
      </w:r>
    </w:p>
    <w:p>
      <w:r>
        <w:t xml:space="preserve"> </w:t>
      </w:r>
    </w:p>
    <w:p>
      <w:pPr>
        <w:pStyle w:val="Heading2"/>
      </w:pPr>
      <w:r>
        <w:t>Methodology</w:t>
      </w:r>
    </w:p>
    <w:p>
      <w:r>
        <w:t>1. Define R signals: pick candidate internal signals to count as R: (a) memory-entry embeddings in the vector store; (b) layer activations from specified transformer layers (e.g., last hidden layer mean pooling); (c) attention summary vectors (mean attention to referent tokens). Explain: an embedding is a vector representing text; layer activations are the model's internal numbers at each transformer layer. 2. Build hybrid memory: vector index (for embeddings) plus relational metadata fields: canonical referent id, timestamp, source, confidence, and provenance. 3. Instrument logging: always record model checkpoint id, RNG seed, session id, context length, referent canonical id, perceptual noise, intervention assignment. 4. Intervention primitives: implement randomized write_gating (A/B per episode: writes allowed vs blocked), randomized read_suppression (randomly withhold or corrupt k% of retrievals), deterministic snapshot/replay and targeted ablation (restore/delete memory_id). Explain: deterministic replay means reproducing the exact inputs, seeds, and memory state so results are repeatable. 5. Probes and analyses: run frozen linear probes and small MLPs to decode O from R; compute split-half reliability (measure consistency across random halves); compute representational similarity analysis (RSA) to compare patterns across conditions. 6. Estimands: primary—ATE(write→S) estimated with mixed-effects models and bootstrap CIs; delta R2 = R2_do − R2_obs measured via cross-validated prediction of O from R under do-interventions; MI_do supplementary using k-NN and MINE with nested cross-validation. 7. Decision rules: pre-specify numeric thresholds (e.g., delta R2≥0.05, ATE CI excludes 0) and require both behavioral mediation and representational mapping to claim semiotic grounding. 8. Reproducibility: provide snapshot manifests (model hash, tokenizer version, RNG seed), replay tokens, and containerized analysis scripts.</w:t>
      </w:r>
    </w:p>
    <w:p>
      <w:r>
        <w:t xml:space="preserve"> </w:t>
      </w:r>
    </w:p>
    <w:p>
      <w:pPr>
        <w:pStyle w:val="Heading2"/>
      </w:pPr>
      <w:r>
        <w:t>Experiments</w:t>
      </w:r>
    </w:p>
    <w:p>
      <w:r>
        <w:t>Datasets: 1) Synthetic referent scenes: generated text+image descriptions of simple objects with canonical ids and controllable perturbations (move, rename, occlude). 2) Multi-user dialog traces: simulated chat sessions where humans label and correct facts about referents across sessions. 3) Annotator correction panels: small-group correction logs with truth/false corrections. Baselines: A) LLM with no persistent memory (stateless), B) LLM with naive RAG retrieval only (no persistent write), C) LLM with persistent memory but write gating always off (write disabled), D) proposed system with indexed persistent writes and full instrumentation. Evaluation metrics: - ATE_write_on_S: average treatment effect of write_allowed on downstream sign-use S with 95% bootstrap CI (behavioral) - delta_R2: cross-validated R2 difference predicting O from R under do vs obs - MI_do: mutual information under do minus obs (k-NN, MINE) - reidentification_accuracy: fraction correct referent identification after interventions - probe_reliability: split-half correlation for each probe - social_repair_ATE: change in downstream acceptance after human corrections Experimental setup: For each dataset, run randomized write_gating A/B across N episodes (suggest pilot N=30 per arm), interleave do-interventions on referents (move/rename/occlude), and run read_suppression at randomized times. For deterministic replay, snapshot memory state and replay identical input with selected memory_ids removed or restored, measure delta in R and S. Analysis: fit mixed-effects model S_ij ~ β0 + β1·write_allowed + β2·intervention + β3·write_allowed:intervention + (1|participant) + (1|item); report β1 and bootstrap CI. Ablation study: vary R extraction method (memory embeddings vs last-layer mean vs attention summaries) and compare delta_R2 and ATE; report which R definition, if any, meets thresholds. Surrogate test for closed APIs: compute RSA between local surrogate and API responses; require RSA r≥0.8 to use surrogate for replay equivalence.</w:t>
      </w:r>
    </w:p>
    <w:p>
      <w:r>
        <w:t xml:space="preserve"> </w:t>
      </w:r>
    </w:p>
    <w:p>
      <w:pPr>
        <w:pStyle w:val="Heading2"/>
      </w:pPr>
      <w:r>
        <w:t>Risk Factors And Limitations</w:t>
      </w:r>
    </w:p>
    <w:p>
      <w:r>
        <w:t>Technical failure modes: memory writes may not be reproducible across checkpoints; deterministic replay may be infeasible for closed APIs without logit dumps. Probe confounds: probes can overfit or pick up prompt leakage rather than genuine encoding. Measurement bias: MI estimators are biased in high dimensions and probe R2 is sensitive to probe complexity. Confounding: session metadata or prompt templates can create spurious P→S shortcuts that mimic mediation. Scalability and compute: snapshotting activations, logits, and attention maps is storage- and compute-intensive for large models. Generalization limits: results on synthetic referent tasks may not transfer to open-world or multimodal referents. Social measurement limits: measuring genuine social uptake across distinct users requires long-term studies and large participant pools; short pilots only show short-term persistence. Ethical and access limits: closed-model APIs may block required internal signals, preventing definitive replay-based causal tests.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