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systematic_survey_empirical_benchmark_llms_mental_health</w:t>
      </w:r>
    </w:p>
    <w:p>
      <w:r>
        <w:t xml:space="preserve"> </w:t>
      </w:r>
    </w:p>
    <w:p>
      <w:pPr>
        <w:pStyle w:val="Heading2"/>
      </w:pPr>
      <w:r>
        <w:t>Title</w:t>
      </w:r>
    </w:p>
    <w:p>
      <w:r>
        <w:t>A systematic survey and empirical benchmark of large language models for clinical text processing to support mental health diagnosis and treatment</w:t>
      </w:r>
    </w:p>
    <w:p>
      <w:r>
        <w:t xml:space="preserve"> </w:t>
      </w:r>
    </w:p>
    <w:p>
      <w:pPr>
        <w:pStyle w:val="Heading2"/>
      </w:pPr>
      <w:r>
        <w:t>Short Hypothesis</w:t>
      </w:r>
    </w:p>
    <w:p>
      <w:r>
        <w:t>Fine-tuning large language models on de-identified clinical text annotated and mapped to C-SSRS and PHQ-9 increases sensitivity for detecting suicidal ideation by at least 0.10 absolute compared to off-the-shelf instruction-tuned models on an external validation set.</w:t>
      </w:r>
    </w:p>
    <w:p>
      <w:r>
        <w:t xml:space="preserve"> </w:t>
      </w:r>
    </w:p>
    <w:p>
      <w:pPr>
        <w:pStyle w:val="Heading2"/>
      </w:pPr>
      <w:r>
        <w:t>Related Work</w:t>
      </w:r>
    </w:p>
    <w:p>
      <w:r>
        <w:t>Prior work applies transformer-based encoders (e.g., clinical BERT variants) and decoder-only instruction-tuned models (e.g., Flan-style or Llama families) to mental-health tasks such as symptom classification, suicide-risk screening, and conversational agents. Retrieval-augmented generation (RAG) and hybrid retriever methods have been used to ground model outputs in clinical notes. Privacy work has tested differential privacy (DP) and synthetic data generation to reduce disclosure risk. Evaluation studies report improvements in convenience and coverage but reveal persistent issues: small and non-representative datasets, limited external validation, poor calibration and uncertainty estimation, frequent hallucinations (unsupported claims), weak subgroup fairness assessments, and insufficient adversarial/re-identification testing. Few studies report standardized metrics aligned to clinical instruments (PHQ-9, C-SSRS) or specify operational thresholds for safety. Overall gaps are lack of standardized datasets and benchmarks, inconsistent privacy accounting, weak clinical validation, and limited guidance on deployment governance.</w:t>
      </w:r>
    </w:p>
    <w:p>
      <w:r>
        <w:t xml:space="preserve"> </w:t>
      </w:r>
    </w:p>
    <w:p>
      <w:pPr>
        <w:pStyle w:val="Heading2"/>
      </w:pPr>
      <w:r>
        <w:t>Abstract</w:t>
      </w:r>
    </w:p>
    <w:p>
      <w:r>
        <w:t>This project provides a systematic literature survey and an empirical benchmark of large language models (LLMs) applied to mental health diagnosis and treatment using clinical text. We (1) review methods, datasets, evaluation metrics, and ethical/privacy practices across prior work; (2) define a shared taxonomy mapped to clinical instruments (C-SSRS, PHQ-9, DSM-5); and (3) run a controlled benchmark comparing off-the-shelf instruction-tuned LLMs, encoder-based clinical models, and retrieval-augmented systems on de-identified, instrument-mapped corpora. The main contribution is a reproducible evaluation framework that reports diagnostic performance (sensitivity, specificity, AUROC, AUPRC), calibration, unsupported-claim rates, subgroup metrics, and privacy-utility tradeoffs under differential privacy. Expected outcomes are (a) a public datasheet and small synthetic sample, (b) concrete evidence about the performance gains from domain fine-tuning and RAG grounding, and (c) practical guidance for safe evaluation and deployment of LLMs in clinical mental-health contexts.</w:t>
      </w:r>
    </w:p>
    <w:p>
      <w:r>
        <w:t xml:space="preserve"> </w:t>
      </w:r>
    </w:p>
    <w:p>
      <w:pPr>
        <w:pStyle w:val="Heading2"/>
      </w:pPr>
      <w:r>
        <w:t>Methodology</w:t>
      </w:r>
    </w:p>
    <w:p>
      <w:r>
        <w:t>1) Systematic literature review: define search terms across NLP, clinical informatics, and AI safety venues; specify inclusion/exclusion criteria (focus on work using clinical or patient-generated text for mental-health tasks), extract study details into a structured spreadsheet (task, model family, data source, instrument mapping, metrics, privacy controls, external validation). 2) Taxonomy and labels: create an annotation schema mapping to PHQ-9 items, C-SSRS items, and DSM-5 categories; define label types: binary flags (e.g., suicidal ideation present/absent), graded severity (mild/moderate/severe), and spans (text ranges supporting labels). 3) Dataset curation: collect de-identified clinical notes and patient messages; apply hybrid de-identification (rules + named-entity recognition) and produce a small synthetic public sample. 4) Annotation protocol: double annotation with adjudication; compute IRR (Cohen's kappa, Krippendorff's alpha); create training/validation/test splits and external holdout sites. 5) Modeling and benchmarks: evaluate three model families: encoder classifiers (ClinicalBERT/RoBERTa), instruction-tuned decoders (Flan-style), and retrieval-augmented LLMs (RAG = retriever + generator; retriever = dense + BM25). Explain terms: fine-tuning = training model weights on labeled data; PEFT (parameter-efficient fine-tuning) = tuning small adapter layers like LoRA to reduce compute and retain base weights. 6) Privacy and safety experiments: run DP-SGD experiments with multiple epsilon values and perform adversarial tests (membership inference, linkage attacks). 7) Evaluation framework: compute sensitivity at pre-specified thresholds, AUROC, AUPRC, calibration metrics (Brier score, ECE), unsupported-claim rate via an entailment-based verifier, and subgroup metrics. 8) Synthesis: combine literature findings with empirical results to produce datasheets, model cards, and operational recommendations.</w:t>
      </w:r>
    </w:p>
    <w:p>
      <w:r>
        <w:t xml:space="preserve"> </w:t>
      </w:r>
    </w:p>
    <w:p>
      <w:pPr>
        <w:pStyle w:val="Heading2"/>
      </w:pPr>
      <w:r>
        <w:t>Experiments</w:t>
      </w:r>
    </w:p>
    <w:p>
      <w:r>
        <w:t>Datasets: (A) 200-document enriched pilot (30-50 positive high-risk cases) for annotation calibration; (B) powered internal corpus target 1,500–3,000 de-identified records enriched to obtain ~73 positives for suicidal ideation; (C) external validation sets from ≥4 diverse sites not used in training. Baselines: (1) clinical encoder classifier (ClinicalBERT/RoBERTa) fine-tuned on labels; (2) instruction-tuned decoder (Flan-T5 or Llama2 instruction) with few-shot prompting and SFT; (3) retrieval-augmented LLM (dense+BM25 retriever + decoder generator) with provenance logging. Variants/ablations: (a) no RAG vs RAG; (b) full fine-tune vs PEFT (LoRA); (c) continued domain pretraining vs none; (d) DP-SGD at ε ∈ {0.5,1,4,8} vs non-DP. Splits and training: stratified train/validation/test (70/15/15) with external holdout; for cluster design preserve site clusters. Evaluation metrics: sensitivity at prespecified threshold, specificity, AUROC (with DeLong CI), AUPRC (bootstrap CI), Brier score, ECE (expected calibration error), unsupported-claim rate (NLI entailment + provenance match), subgroup sensitivity differences, membership-inference risk (membership advantage), and latency (ms). Statistical tests: bootstrap for CIs, DeLong for AUROC, permutation tests for subgroup differences, and pre-specified threshold selected on validation only. Acceptance comparisons: report absolute difference in sensitivity between best fine-tuned model and off-the-shelf instruction model; test null hypothesis of no ≥0.10 sensitivity improvement (two-sided, alpha=0.05). Reproducibility: provide seeds, containerized training scripts, and datasheets.</w:t>
      </w:r>
    </w:p>
    <w:p>
      <w:r>
        <w:t xml:space="preserve"> </w:t>
      </w:r>
    </w:p>
    <w:p>
      <w:pPr>
        <w:pStyle w:val="Heading2"/>
      </w:pPr>
      <w:r>
        <w:t>Risk Factors And Limitations</w:t>
      </w:r>
    </w:p>
    <w:p>
      <w:r>
        <w:t>1) Low prevalence of high-risk events: rare positive cases make estimates unstable and require enrichment; results may not generalize to true population prevalence. 2) Label noise and annotator disagreement: subjective clinical judgments reduce ground-truth reliability. 3) De-identification failures: residual identifiers may persist and increase re-identification risk. 4) Privacy-utility tradeoff: strong DP settings (low ε) can substantially reduce model utility. 5) Hallucinations and unsupported claims: generative models may produce plausible but false statements affecting safety. 6) Subgroup and domain shift: models trained on certain sites/populations may underperform on others, causing fairness harms. 7) Adversarial vulnerabilities: model extraction, membership inference, and prompt attacks may leak data or alter behavior. 8) Compute and scale limits: large LLMs and RAG indices require significant GPU and storage resources, limiting reproducibility. 9) Regulatory and legal uncertainty: jurisdictional differences in mandated reporting and clinical device classification may constrain deployment. 10) Evaluation limits: benchmark settings and synthetic public samples cannot fully capture real-world clinical workflows or longitudinal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