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silesia_german_archive_impact</w:t>
      </w:r>
    </w:p>
    <w:p>
      <w:r>
        <w:t xml:space="preserve"> </w:t>
      </w:r>
    </w:p>
    <w:p>
      <w:pPr>
        <w:pStyle w:val="Heading2"/>
      </w:pPr>
      <w:r>
        <w:t>Title</w:t>
      </w:r>
    </w:p>
    <w:p>
      <w:r>
        <w:t>Mixed-methods empirical assessment of affective, social, and personal impacts of a German minority community archive in Silesia</w:t>
      </w:r>
    </w:p>
    <w:p>
      <w:r>
        <w:t xml:space="preserve"> </w:t>
      </w:r>
    </w:p>
    <w:p>
      <w:pPr>
        <w:pStyle w:val="Heading2"/>
      </w:pPr>
      <w:r>
        <w:t>Short Hypothesis</w:t>
      </w:r>
    </w:p>
    <w:p>
      <w:r>
        <w:t>Participation in archival activities (interviews, contributions, or events) causes a measurable increase in participants' reported sense of belonging and German-language use within six months compared to baseline levels among non-participants.</w:t>
      </w:r>
    </w:p>
    <w:p>
      <w:r>
        <w:t xml:space="preserve"> </w:t>
      </w:r>
    </w:p>
    <w:p>
      <w:pPr>
        <w:pStyle w:val="Heading2"/>
      </w:pPr>
      <w:r>
        <w:t>Related Work</w:t>
      </w:r>
    </w:p>
    <w:p>
      <w:r>
        <w:t>Existing research on community and independent archives, minority-language preservation, and sociolinguistic identity has used qualitative case studies, cross-sectional surveys, and occasional social-network descriptions. Common approaches document narratives of memory, language loss, and heritage activism via interviews and curated exhibits. Limitations include scarce longitudinal measurement of individual change, weak integration between affective measures and archival metadata, limited use of formal social-network models to handle dependence, small or convenience samples that limit generalization, inconsistent bilingual psychometric validation (measurement-invariance often untested), and partial attention to GDPR-level metadata linking that minimizes re-identification risk. Few studies combine validated affect scales, rigorous SNA, and TEI/EAD metadata mapping in a single convergent mixed-methods design, leaving open how archival engagement causally relates to affective and language outcomes over time.</w:t>
      </w:r>
    </w:p>
    <w:p>
      <w:r>
        <w:t xml:space="preserve"> </w:t>
      </w:r>
    </w:p>
    <w:p>
      <w:pPr>
        <w:pStyle w:val="Heading2"/>
      </w:pPr>
      <w:r>
        <w:t>Abstract</w:t>
      </w:r>
    </w:p>
    <w:p>
      <w:r>
        <w:t>This study evaluates how an independent community archive (the German Minority Research Center in Silesia) affects contributors’ emotions, social ties, and personal identity. We use a convergent mixed-methods design combining ~30 in-depth interviews, a bilingual survey of ~100 community members, participant observation at archive events, archival metadata linkage, and a longitudinal follow-up of 15–20 participants. Instruments include adapted affect and identity scales validated via forward-backward translation and cognitive interviews. We construct a social network of contributors and users from survey and archival metadata and model dependence with exponential-family random graph models (ERGM). Qualitative coding with inter-coder reliability (Cohen’s kappa) will capture affective narratives; joint displays will integrate qualitative themes, survey measures, and network metrics. The main contribution is a reproducible, ethically grounded evidence base showing whether and how archival engagement produces measurable increases in belonging and language use, accompanied by a documented integration matrix and metadata mapping that preserves privacy while enabling linkage. Results will inform archive practice and minority-language support strategies.</w:t>
      </w:r>
    </w:p>
    <w:p>
      <w:r>
        <w:t xml:space="preserve"> </w:t>
      </w:r>
    </w:p>
    <w:p>
      <w:pPr>
        <w:pStyle w:val="Heading2"/>
      </w:pPr>
      <w:r>
        <w:t>Methodology</w:t>
      </w:r>
    </w:p>
    <w:p>
      <w:r>
        <w:t>1) Integration matrix: create a clear table mapping research questions (affective, social, personal) to data sources (interviews, survey, archive metadata, observations) and analytic methods (thematic coding, descriptive and inferential stats, SNA, ERGM). 2) Sampling: purposive stratified sample with strata: contributors, users, peripheral observers; target 30 interviews, 100 survey respondents, 15–20 longitudinal follow-ups. 3) Instruments: adapt brief affect scale (PANAS or SPANE) and an identity scale (MEIM). Translate via forward-backward method: two independent translations, reconciled, back-translated, and refined in cognitive interviews (20–30 participants for translation validation). 4) Data collection: conduct semi-structured interviews (audio-recorded, transcribed), bilingual surveys (demographics, language-use items, affect/identity scales), and participant observation notes at events. 5) Data linkage and metadata: assign pseudonymous linkage keys to connect interview segments to archival item IDs and event attendance; map fields to Dublin Core/EAD-level descriptors for records (title, date, contributor role, language, location) while excluding direct identifiers. 6) Qualitative analysis: develop a combined deductive–inductive codebook; double-code initial transcripts; compute Cohen’s kappa (inter-coder reliability); maintain reflexive memos. (Cohen’s kappa measures agreement between coders; values &gt;=0.7 are acceptable.) 7) Quantitative analysis: compute pre/post affect and language-use changes (paired tests), group comparisons (engaged vs non-engaged), regression models controlling for age/gender/engagement, and construct social network from reported ties and archival interactions. 8) Network modeling: fit ERGM (a statistical model for network structure) to account for dependence among ties and test associations between node attributes (engagement, language use) and network position. 9) Integration: produce joint displays (tables/figures joining themes, scale scores, and network metrics) and apply meta-inference rules requiring convergence of at least two indicators before making causal claims. 10) Ethics &amp; governance: obtain informed consent with options for anonymization, use GDPR-aligned storage, role-based access, and documented withdrawal SOPs.</w:t>
      </w:r>
    </w:p>
    <w:p>
      <w:r>
        <w:t xml:space="preserve"> </w:t>
      </w:r>
    </w:p>
    <w:p>
      <w:pPr>
        <w:pStyle w:val="Heading2"/>
      </w:pPr>
      <w:r>
        <w:t>Experiments</w:t>
      </w:r>
    </w:p>
    <w:p>
      <w:r>
        <w:t>Datasets: (A) Interview transcripts (n ~30), (B) Bilingual survey responses (n ~100), (C) Archival metadata and event attendance logs, (D) Longitudinal follow-up data (n ~15–20). Baselines: non-engaged community sample from the survey (members who report no archival participation); ablation baseline: bilingual-instrument vs single-language (no translation validation). Evaluation metrics: affect score change (mean difference, paired t-test), language use frequency (ordinal counts; Wilcoxon signed-rank test), identity scale score (mean, t-test), Cohen’s kappa for code reliability, thematic saturation index (number of new codes per interview), SNA metrics (degree centrality, betweenness centrality, density), ERGM goodness-of-fit (AIC, MCMC diagnostics), measurement-invariance indices (CFI, RMSEA, ΔCFI between groups), logistic and multilevel regression coefficients with 95% CI, and attrition rates. Experimental setup: 1) Pre-register analysis plan. 2) Validation step: conduct cognitive interviews (20–30) then finalize instruments. 3) Fieldwork: collect interviews and surveys concurrently. 4) Quantitative tests: for continuous affect/identity scales, use paired t-tests for pre/post within participants and two-sample t-tests for engaged vs non-engaged; power target: 80% to detect Cohen's d = 0.5 (medium effect) at alpha = 0.05 with n ≈ 64 per comparison group; if group sizes smaller, report effect sizes and CIs. 5) Network construction: nodes = individuals and archival items; edges = reported ties or contributions. Fit ERGM to model presence of ties as function of homophily (language, age), engagement, and transitivity; evaluate fit via simulated networks. 6) Ablation study: compare primary results against (a) analyses without translation-validated instruments and (b) analyses omitting SNA linkage; report differences in effect sizes and model fit. 7) Reproducibility: produce scripted pipelines (R/Python) and mock joint displays before final analysis.</w:t>
      </w:r>
    </w:p>
    <w:p>
      <w:r>
        <w:t xml:space="preserve"> </w:t>
      </w:r>
    </w:p>
    <w:p>
      <w:pPr>
        <w:pStyle w:val="Heading2"/>
      </w:pPr>
      <w:r>
        <w:t>Risk Factors And Limitations</w:t>
      </w:r>
    </w:p>
    <w:p>
      <w:r>
        <w:t>1) Sampling bias: purposive sampling and gatekeeper reliance may underrepresent less-visible groups. 2) Small sample sizes: n ~100 survey and ~30 interviews limit detection of small effects and subgroup analyses. 3) Measurement invariance failure: German/Polish versions of scales may not be equivalent, invalidating cross-language comparisons. 4) Self-report and social desirability bias: participants may overstate language use or belonging. 5) Network dependence complexity: ERGM or other SNA models may not fully capture temporal dynamics or unobserved ties. 6) Privacy/re-identification risk: linking interview text to archival records can increase re-identification despite pseudonymization. 7) Political sensitivity and emotional distress: topics may lead to withheld responses or acute distress affecting data quality. 8) Attrition in longitudinal follow-up reduces power and may bias the trajectory estimates. 9) Metadata and ingestion resource limits: limited time or compute may prevent full TEI/EAD/PREMIS processing. 10) Limited generalization: findings reflect one regional minority archive and may not generalize to other contexts.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