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impact_vc_iat_market_access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mixed-methods study using ethnography and event-history analysis to test how impact ambiguity tolerance shapes fundraising speed among impact venture capital firms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Higher Impact Ambiguity Tolerance (IAT) in an impact venture capital fund causally reduces time-to-LP-commitment (faster fundraising) relative to funds with lower IAT, conditional on observable fund covariates.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documents that impact investing faces contested definitions of 'impact' and that investors use metrics and narratives to navigate evaluation. Studies of impact valuation emphasize standardized metrics and third-party verification, while qualitative work on entrepreneurship points to tactical practices for entering new markets. Existing methods either focus on macro-level finance datasets (missing micro-level tactics) or small-scale ethnographies (limited causal tests). Limitations include: no reproducible index linking tactical behavior to measurable outcomes; weak attention to LP institutional incentives as causal drivers; insufficient multimethod pipelines combining coded events, time-to-event models, and causal robustness checks; and underdeveloped multilingual/NLP and privacy-aware infrastructures for sensitive artifacts. There is a gap in rigorously testing whether everyday tactical reframing of 'impact' by GPs affects measurable fundraising outcomes.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Impact venture capitalists often operate amid ambiguity about what counts as social or environmental impact. This study tests whether a fund's tolerance for impact ambiguity—measured by a reproducible IAT index of measurement rigor, temporal flexibility, attribution language, and indicator heterogeneity—affects how quickly limited partners commit capital. We combine ethnographic observation, interviews, and artifact collection with coded, time-stamped tactical-event logs. Automated NLP assists human coders to scale labeling across languages while preserving provenance and coder uncertainty. We then analyze time-to-LP-commitment with event-history models, augment comparisons with propensity-score matching, and use synthetic controls for select market-entry cases. The main contribution is an empirical linkage from everyday tactical practices to measurable fundraising speed, plus a validated IAT index and reproducible data pipeline that respect privacy and legal constraints. Expected outcomes include quantified effect sizes for IAT on fundraising tempo, validated measurement tools, and policy-relevant insights on how LP incentives shape tactical repertoires.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Sampling: purposive maximum-variation sample of 12–18 impact VC funds stratified by geography, stage focus, dominant LP type, and impact framing; run a 3-firm pilot (each with 3 portfolio companies) to validate instruments. 2) IAT index: code four dimensions (measurement rigor, temporal flexibility, attribution language, indicator heterogeneity), each scored 0–3 and summed (0–12). Provide exemplar phrases and binary decision rules for ambiguous acts. 3) Data collection: participant observation, semi-structured interviews with GPs/LPs/founders, and artifact capture (decks, memos, contracts) with provenance metadata. 4) Tactical-event coding: label events (framing, omission, temporal deferral, metric repurposing, enrollment, selective disclosure) with day-level timestamps; allow multi-labels; coders record confidence (0–1). 5) NLP-assisted labeling: train supervised models with active learning to pre-label text; human-in-loop corrects and builds the gold set. (NLP: automated natural language processing to tag text.) 6) LP typology: code LPs into philanthropic, impact-first, concessionary, commercial using fund disclosures and external databases. 7) Quantitative analysis: primary model is event-history (survival) analysis of time-to-LP-commitment with time-varying tactical covariates; secondary methods include propensity-score matching and synthetic control for notable cases. 8) Coder uncertainty: represent ambiguous codes probabilistically and propagate via multiple imputation or Rubin pooling (pooling: combining results from several imputed datasets). 9) Governance: record consent tiers, apply encryption, and plan differential privacy for public aggregates.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Pilot set: 3 funds x 3 portfolio companies artifacts and interviews (8–10 weeks). (B) Core ethnographic set: 12–18 funds with time-stamped artifacts and linked LP/founder interviews. (C) Augmented external set: matched funds from Preqin/PitchBook/Crunchbase to reach n≈60–100 for some quantitative tests. Baselines: (1) null model with fund covariates only (size, geography, stage, vintage); (2) model using only LP typology and no tactical codes; (3) deterministic IAT coding (no probabilistic uncertainty). Primary outcome: time-to-LP-commitment in days (continuous); analyze with Cox proportional hazards and Aalen additive hazards as robustness. Secondary outcomes: binary committed-within-12-months, market-entry success (first local revenue/contract within 12 months), and founder burden (hours/week on reporting). Evaluation metrics: hazard ratios with 95% CI, average treatment effect estimates from propensity-score matched samples, root-mean-square error (RMSE) for continuous predictions, Cohen’s kappa for manual coding reliability (target ≥0.7), NLP F1-score per language (target ≥0.80), and DP utility-loss measures (e.g., relative error of aggregates after noise). Experiments: 1) Primary test: regress time-to-commit on IAT (continuous) controlling for fund covariates; report hazard ratio and p-value. 2) Ablation A: remove LP typology covariates and compare effect estimates. 3) Ablation B: replace probabilistic coding with deterministic labels and compare pooled estimates. 4) Robustness: run propensity-score matching on fund covariates and report ATT (average treatment effect on treated) for high vs low IAT groups. 5) Sensitivity: compute E-values for unobserved confounding and run synthetic-control analysis for 2–3 marquee market-entry cases. 6) NLP ablation: compare model performance trained on pilot gold set vs expanded gold set; report per-language F1 and error-rate disparities. Pre-specify lag windows at 30/90/180 days; use multiple-imputation for missing covariates. All code and pre-registered models will be versioned and reproducible notebooks provided.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Limited core-N: 12–18 primary funds limits statistical power for small effects; augmented external data may not perfectly match ethnographic cases. 2) Access risk: funds may restrict artifacts or withdraw, producing selection bias. 3) Coder reliability: low interrater agreement limits index validity. 4) NLP failures: poor performance on low-resource languages or domain-specific jargon can bias event logs. 5) Endogeneity: GP tactical choices may be endogenous to unobserved factors (reverse causation), limiting causal claims. 6) Differential privacy trade-offs: adding noise reduces aggregate utility and may distort small-cell analyses. 7) Founder reporting bias: self-reported burden and diaries may be inaccurate or influenced by compensation. 8) Legal and cross-border constraints: DUAs, NDAs, and data-transfer rules may prevent full data linkage or public release. 9) Scalability and compute: multilingual ASR/NLP and secure enclaves require substantial compute and operational costs. 10) Generalization: results from purposive samples and specific markets may not generalize to all impact VCs or geographies.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