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consumption_populism_ramdev</w:t>
      </w:r>
    </w:p>
    <w:p>
      <w:r>
        <w:t xml:space="preserve"> </w:t>
      </w:r>
    </w:p>
    <w:p>
      <w:pPr>
        <w:pStyle w:val="Heading2"/>
      </w:pPr>
      <w:r>
        <w:t>Title</w:t>
      </w:r>
    </w:p>
    <w:p>
      <w:r>
        <w:t>Operationalizing consumption populism: a mixed-methods discourse, network, and causal study of Baba Ramdev's neo-swadeshi campaigns</w:t>
      </w:r>
    </w:p>
    <w:p>
      <w:r>
        <w:t xml:space="preserve"> </w:t>
      </w:r>
    </w:p>
    <w:p>
      <w:pPr>
        <w:pStyle w:val="Heading2"/>
      </w:pPr>
      <w:r>
        <w:t>Short Hypothesis</w:t>
      </w:r>
    </w:p>
    <w:p>
      <w:r>
        <w:t>Exposure to business-leader populist messaging (spectacles and affective appeals) causes an increase in identity-driven purchases of neo-swadeshi products among exposed consumers relative to unexposed controls within the same market and time window.</w:t>
      </w:r>
    </w:p>
    <w:p>
      <w:r>
        <w:t xml:space="preserve"> </w:t>
      </w:r>
    </w:p>
    <w:p>
      <w:pPr>
        <w:pStyle w:val="Heading2"/>
      </w:pPr>
      <w:r>
        <w:t>Related Work</w:t>
      </w:r>
    </w:p>
    <w:p>
      <w:r>
        <w:t>Prior work studies political populism, identity-based consumption, affective political marketing, and computational discourse analysis. Research on populist rhetoric maps leader-centered antagonisms and affect; work on consumer nationalism documents symbolic buying (e.g., 'buy local') and moralized product claims. Computational methods have used lexicons, topic models, and network diffusion to measure message spread. Ethnographic studies show how leaders stage spectacles and mobilize affect in everyday markets. Limitations: existing approaches rarely unify discursive theory (Laclau-style antagonistic chains) with measurable, falsifiable indicators; most computational work lacks vernacular multilingual coverage and ethnographic grounding; causal evidence linking leader messaging to actual purchases is sparse; intersectional (caste/gender/class) and environmental impacts are under-measured; reproducible thresholds for stages (otherization, homogenization, hegemony) are not standardized.</w:t>
      </w:r>
    </w:p>
    <w:p>
      <w:r>
        <w:t xml:space="preserve"> </w:t>
      </w:r>
    </w:p>
    <w:p>
      <w:pPr>
        <w:pStyle w:val="Heading2"/>
      </w:pPr>
      <w:r>
        <w:t>Abstract</w:t>
      </w:r>
    </w:p>
    <w:p>
      <w:r>
        <w:t>This study introduces and tests a three-stage model of "consumption populism"—otherization, homogenization, hegemony—by analyzing how a business leader uses populist logic and affective practices to shape consumption. We combine multilingual discourse analysis, network diffusion metrics, ethnographic fieldwork, and causal inference to produce falsifiable indicators for each stage and to measure effects on consumption. The main contributions are (1) an annotated multilingual codebook and classifiers that detect antagonistic binaries, identity-convergence, and spectacle-based legitimation in vernacular speech; (2) network measures that quantify message centralization and community convergence; and (3) causal estimates (Difference-in-Differences, synthetic control, and instrumental variable checks) linking leader-driven campaigns to changes in neo-swadeshi purchasing proxies. Expected outcomes include validated, replicable indicators for consumption populism, empirical estimates of leader messaging impact on consumption, and intersectional and environmental characterizations of who is affected. Results will inform scholarly theory, platform moderation, and consumer-protection policy.</w:t>
      </w:r>
    </w:p>
    <w:p>
      <w:r>
        <w:t xml:space="preserve"> </w:t>
      </w:r>
    </w:p>
    <w:p>
      <w:pPr>
        <w:pStyle w:val="Heading2"/>
      </w:pPr>
      <w:r>
        <w:t>Methodology</w:t>
      </w:r>
    </w:p>
    <w:p>
      <w:r>
        <w:t>1) Data collection: assemble multilingual corpora (Hindi, Marathi, English) of leader speeches, brand marketing, vernacular news, YouTube comments, public Telegram channels, and public social media posts. Gather consumption proxies: scanner/panel data if available, else Google Trends, e-commerce category indices, and Keepa price/availability traces. Collect ethnographic data: participant observation at retail outlets and yoga camps, semi-structured interviews, and oral histories. 2) Annotation and codebook: develop an annotated schema aligned to three stages. Otherization tags: explicit antagonists, boycott calls, exclusionary metaphors. Homogenization tags: collective pronouns, cultural-symbol invocations, semantic convergence markers. Hegemony tags: spectacle mentions, leadership legitimacy claims, impossible-demand phrasing. Include intersectional flags (caste/gender/class) and environmental claim tags. 3) Lexicons and affect detection: build vernacular affect lexicons (pride, outrage, threat, anxiety). Affect detection: models that score text for emotional registers; explain: affect = emotions expressed in text. 4) Supervised classifiers: train multilingual classifiers using annotated data; technique: fine-tune transformer-based models on vernacular data (transformer is a modern text model). Use cross-validation and report per-language metrics. 5) Embeddings and semantic diversity: compute text embeddings (numeric vectors representing meaning) and measure diversity with metrics such as Jensen-Shannon (JS) divergence and embedding dispersion (average pairwise cosine distance). 6) Network diffusion: build temporal retweet/share networks; compute modularity (community structure), centralization (Gini of in-degree), cascade size/depth. 7) Causal identification: pre-register Difference-in-Differences (DiD) around spectacle/campaign dates, synthetic control for single-region shocks, and IV strategies using exogenous broadcast slot variation or platform outages; include robustness tests (placebos, Rosenbaum bounds). 8) Integration loop: iterate—use ethnographic exemplars to refine annotations, scale classifiers, inspect anomalies with field follow-ups, and re-annotate as needed. 9) Ethical and privacy handling: anonymize PII, secure storage, IRB-approved consent forms for interviews, trauma-informed protocols. 10) Threshold setting: operational thresholds (e.g., otherization spike = event-window negative-reference rate &gt; baseline mean + 2 SD) will be formalized and validated in annotation calibration.</w:t>
      </w:r>
    </w:p>
    <w:p>
      <w:r>
        <w:t xml:space="preserve"> </w:t>
      </w:r>
    </w:p>
    <w:p>
      <w:pPr>
        <w:pStyle w:val="Heading2"/>
      </w:pPr>
      <w:r>
        <w:t>Experiments</w:t>
      </w:r>
    </w:p>
    <w:p>
      <w:r>
        <w:t>Datasets: 1) Leader corpus: Ramdev speeches and organizational posts (Hindi/Marathi/English). 2) Media corpus: vernacular news and YouTube comments. 3) Social media: public Twitter/X (Academic API), Telegram public channels, YouTube comments. 4) Consumption proxies: Nielsen/IRI scanner data (if available) or Google Trends and Amazon/Flipkart category indices + Keepa. 5) Ethnography: n≈60 semi-structured interviews across caste/gender/class strata and field observation logs. Baselines: A) lexicon-only detection, B) unsupervised topic-model based markers (LDA), C) multilingual transformer without vernacular fine-tuning. Evaluation metrics: For classifiers — precision, recall, F1 by class and per-language; inter-annotator agreement (Cohen’s kappa, Krippendorff’s alpha); fairness metrics: per-language confusion matrices, calibration by subgroup. For semantic homogenization — JS divergence, embedding dispersion, and topic overlap. For network — modularity, Gini in-degree, cascade size and depth. For causal estimates — DiD coefficient with clustered SE, synthetic control gap, IV local average treatment effect with over-identification tests, and sensitivity analyses including Rosenbaum bounds. Experimental setup: 1) Annotation: split annotated exemplars 70/15/15 train/val/test stratified by language; target IAA kappa ≥0.70. 2) Classifier ablations: full model vs (i) no affect lexicon, (ii) no network features, (iii) no vernacular fine-tuning. Report per-language F1 and fairness metrics. 3) Semantic homogenization test: compute pre/post campaign JS divergence within target communities; baseline comparison: random time windows. 4) Causal test: DiD comparing high-exposure regions (top tercile of pre-campaign exposure) vs low-exposure, pre-period 12 weeks, post-period 12 weeks; run placebo dates and parallel-trends checks. 5) Alternative causal comparison: synthetic control for single-city spectacle; report RMSPE (root mean squared prediction error). 6) Robustness: run Rosenbaum bounds for unobserved bias and report sensitivity. 7) Intersectional analyses: stratify DiD by caste/gender/class strata and by product environmental intensity (LCA proxy bins). 8) Reproducibility: release anonymized codebook, models, and synthetic datasets per IRB constraints.</w:t>
      </w:r>
    </w:p>
    <w:p>
      <w:r>
        <w:t xml:space="preserve"> </w:t>
      </w:r>
    </w:p>
    <w:p>
      <w:pPr>
        <w:pStyle w:val="Heading2"/>
      </w:pPr>
      <w:r>
        <w:t>Risk Factors And Limitations</w:t>
      </w:r>
    </w:p>
    <w:p>
      <w:r>
        <w:t>1) Data access: proprietary scanner/panel data may be unavailable; proxies (Google Trends, e-commerce indices) may imperfectly measure purchases. 2) Language coverage: transformer models may underperform on low-resource vernaculars; annotations may be subjective across idioms. 3) Annotation bias: intercoder disagreement can introduce noise; small annotated samples limit classifier generalization. 4) Confounding and causality: exposure measurement error, coordinated bot activity, or concurrent policy events may bias DiD/IV estimates. 5) Measurement validity: defining and thresholding constructs like "impossible demands" or "semantic homogenization" may be contested and sensitive to threshold choices. 6) Ethical risk: research can expose participants to political harm if privacy is breached; anonymization limits detailed public data release. 7) Scalability: multimodal and multilingual pipelines require substantial compute and human annotation resources. 8) Generalization: findings from the Baba Ramdev case and South Asia may not generalize to other cultural or political settings. 9) Environmental and intersectional proxies: product LCA estimates and caste/gender markers are noisy and may introduce measurement error into causal models.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