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ethical_review_scat_japan</w:t>
      </w:r>
    </w:p>
    <w:p>
      <w:r>
        <w:t xml:space="preserve"> </w:t>
      </w:r>
    </w:p>
    <w:p>
      <w:pPr>
        <w:pStyle w:val="Heading2"/>
      </w:pPr>
      <w:r>
        <w:t>Title</w:t>
      </w:r>
    </w:p>
    <w:p>
      <w:r>
        <w:t>SCAT-based qualitative analysis of research ethics committee review comments to characterize ethical review practices for non-medical research in Japan</w:t>
      </w:r>
    </w:p>
    <w:p>
      <w:r>
        <w:t xml:space="preserve"> </w:t>
      </w:r>
    </w:p>
    <w:p>
      <w:pPr>
        <w:pStyle w:val="Heading2"/>
      </w:pPr>
      <w:r>
        <w:t>Short Hypothesis</w:t>
      </w:r>
    </w:p>
    <w:p>
      <w:r>
        <w:t>A bilingual SCAT coding workflow applied to REC review comments will identify more validated culture-specific ethical themes than an English-only thematic analysis, measured as a greater count of distinct validated themes with inter-coder Krippendorff's alpha &gt;= 0.70.</w:t>
      </w:r>
    </w:p>
    <w:p>
      <w:r>
        <w:t xml:space="preserve"> </w:t>
      </w:r>
    </w:p>
    <w:p>
      <w:pPr>
        <w:pStyle w:val="Heading2"/>
      </w:pPr>
      <w:r>
        <w:t>Related Work</w:t>
      </w:r>
    </w:p>
    <w:p>
      <w:r>
        <w:t>Prior work on ethics review analysis uses manual thematic analysis, discourse analysis, and automated topic models. Thematic analysis gives rich themes but depends on coder language choices and often uses translated data, which can lose culturally specific nuances. Discourse approaches capture power and politeness but are time consuming and rarely combined with formal coding reliability checks. Automated topic models (e.g., LDA) scale to large corpora but produce broad topics that miss fine-grained ethical reasoning. Studies focused on medical research dominate; non-medical reviews (social sciences, humanities, informatics) are underexplored. Existing approaches often omit rigorous bilingual workflows, APPI-aligned anonymization rules, reproducible synthetic-data pipelines, or formal re-identification risk scoring. Many reports lack explicit double-coding rates, statistical reliability thresholds, or controlled comparisons between monolingual and bilingual coding, leaving unresolved whether bilingual, culturally aware methods yield measurably different outputs.</w:t>
      </w:r>
    </w:p>
    <w:p>
      <w:r>
        <w:t xml:space="preserve"> </w:t>
      </w:r>
    </w:p>
    <w:p>
      <w:pPr>
        <w:pStyle w:val="Heading2"/>
      </w:pPr>
      <w:r>
        <w:t>Abstract</w:t>
      </w:r>
    </w:p>
    <w:p>
      <w:r>
        <w:t>We investigate how research ethics committee (REC) review comments shape ethical oversight for non-medical research in Japan by applying SCAT, a structured qualitative coding method, in a bilingual workflow. We collect a purposive corpus of REC review comments (2015–2025) from multiple Japanese universities and combine document analysis with 12–20 semi-structured interviews. The approach codes comments first in Japanese by native coders, retains in-vivo terms, and uses back-translation to preserve nuance. We introduce an APPI-aligned anonymization protocol and a documented risk-scoring model for quote publication. We also produce synthetic exemplars with controlled language models to enable reproducible sharing without disclosure. Main contributions are: (1) a reproducible bilingual SCAT pipeline for REC text, (2) an auditable anonymization and risk framework compatible with Japanese law, and (3) empirical evidence on how bilingual coding changes the set of identified ethical themes compared to monolingual methods. Expected impact is clearer, culturally grounded guidance for RECs and safer sharing of qualitative review data.</w:t>
      </w:r>
    </w:p>
    <w:p>
      <w:r>
        <w:t xml:space="preserve"> </w:t>
      </w:r>
    </w:p>
    <w:p>
      <w:pPr>
        <w:pStyle w:val="Heading2"/>
      </w:pPr>
      <w:r>
        <w:t>Methodology</w:t>
      </w:r>
    </w:p>
    <w:p>
      <w:r>
        <w:t>1) Corpus construction: assemble REC review comments from 6 purposively sampled Japanese universities (2 national, 2 public, 2 private) across social sciences, humanities, education, informatics, and business for 2015–2025. Target 600–1,000 comments. 2) Permissions: obtain institutional DUAs and lead-REC protocol approval; record consent for interviews. 3) Anonymization and risk scoring: apply automated and manual redaction for direct identifiers (names, emails), unique project titles, and fine-grained dates (generalize to year). Use a likelihood×impact risk score (1–5 each) per excerpt and record scores in an anonymization log. 4) SCAT bilingual coding pipeline: native Japanese coders code raw comments using SCAT steps (small-step coding that extracts in-vivo words, paraphrase, explanation, and themes). SCAT explained: it is a stepwise qualitative method that finds themes from short text segments. Use NVivo for multi-label coding and storage. 5) Reliability and adjudication: double-code 25% of corpus, compute Krippendorff's alpha per code (alpha explains agreement among coders; target &gt;=0.70). Resolve disagreements via evidence-based adjudication meetings and a third reviewer. 6) Translation workflow: translate selected codes and quotes to English, back-translate key labels, keep original Japanese in the codebook for in-vivo terms (e.g., honorific forms, hedging phrases). Log translation decisions. 7) Synthetic data generation: fine-tune a conditional language model on labeled topics, then apply rule-based suppression to remove any token with source frequency &lt;=3. Containerize generation pipeline (Docker) and produce validation reports. 8) Documentation: maintain versioned codebooks, anonymization logs, DUAs, and reproducible analysis scripts in a secure repository. Example: a comment containing an honorific hedged phrase in Japanese is coded in Japanese, receives a theme label, and the English label is back-checked for meaning.</w:t>
      </w:r>
    </w:p>
    <w:p>
      <w:r>
        <w:t xml:space="preserve"> </w:t>
      </w:r>
    </w:p>
    <w:p>
      <w:pPr>
        <w:pStyle w:val="Heading2"/>
      </w:pPr>
      <w:r>
        <w:t>Experiments</w:t>
      </w:r>
    </w:p>
    <w:p>
      <w:r>
        <w:t>Datasets: primary corpus of 600–1,000 REC review comments (2015–2025) from 6 institutions; interview transcripts from 12–20 REC members; synthetic corpus generated from conditional LM. Baselines: A) English-only thematic analysis where comments are machine-translated to English before coding; B) automated topic model baseline (LDA) on original Japanese tokenized text; C) SCAT bilingual workflow (proposed). Evaluation metrics: - Theme count: number of distinct validated themes produced. - Inter-coder reliability: Krippendorff's alpha per code and overall (target &gt;=0.70). - Saturation curve: code turnover vs. sample size (stop when new-theme rate &lt;1% per 50 comments). - Classifier F1: train a supervised classifier (SVM) on coded labels to predict labels from text; report macro F1 via 5-fold CV. - Synthetic fidelity: KL divergence between code-frequency distributions in real vs synthetic (target KL &lt;0.1) and n-gram overlap ratio; ensure no token with source frequency &lt;=3 appears. - Disclosure risk: proportion of excerpts with risk score &gt;6. Setup: pilot 100 comments to build codebook; double-code 25% of full set. Train SVM on 80% of coded corpus, test on 20% (5-fold CV) for classifier metrics. Compare baselines: measure (1) theme count and theme overlap between methods using Jaccard similarity; (2) difference in number of culture-specific themes identified by SCAT bilingual vs English-only; (3) automated-topic correspondence to SCAT themes using normalized mutual information (NMI). Ablation studies: 1) remove back-translation step and measure change in validated theme count and alpha; 2) reduce double-coding rate to 10% and measure alpha; 3) synthetic-data ablation: generate without rare-token suppression and measure disclosure risk and KL divergence. Pre-specified thresholds: Krippendorff's alpha &gt;=0.70 for acceptability; KL divergence &lt;0.1 for synthetic fidelity.</w:t>
      </w:r>
    </w:p>
    <w:p>
      <w:r>
        <w:t xml:space="preserve"> </w:t>
      </w:r>
    </w:p>
    <w:p>
      <w:pPr>
        <w:pStyle w:val="Heading2"/>
      </w:pPr>
      <w:r>
        <w:t>Risk Factors And Limitations</w:t>
      </w:r>
    </w:p>
    <w:p>
      <w:r>
        <w:t>1) Legal and access risk: institutional refusal or contested ownership of REC comments may limit corpus size. 2) Re-identification risk: residual identifiers in text or rare phrasing may allow re-linkage despite redaction. 3) Translation bias: back-translation may not fully capture honorifics, hedging, or cultural connotations, producing meaning shifts. 4) Coder bias and subjectivity: SCAT depends on coder interpretation; low agreement may occur despite double-coding. 5) Sampling bias: purposive sampling of 6 universities may not generalize to all Japanese institutions. 6) Small-domain sparsity: some disciplines may have few comments, preventing saturation for those strata. 7) Synthetic-data failure modes: language model may memorize rare phrases or produce realistic but incorrect attributions. 8) Compute limits: fine-tuning LMs and running reliability analyses require compute and licensed software (NVivo) which may constrain throughput. 9) Time and recruitment constraints: interviews and DUAs can delay timeline and reduce planned sample sizes. 10) Evaluation limits: quantitative metrics (KL, alpha) do not fully capture interpretive quality of themes and cultural nuance.</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