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risk_homogeneity_systemic_risk</w:t>
      </w:r>
    </w:p>
    <w:p>
      <w:r>
        <w:t xml:space="preserve"> </w:t>
      </w:r>
    </w:p>
    <w:p>
      <w:pPr>
        <w:pStyle w:val="Heading2"/>
      </w:pPr>
      <w:r>
        <w:t>Title</w:t>
      </w:r>
    </w:p>
    <w:p>
      <w:r>
        <w:t>Text-mining corporate risk disclosures to measure perception homogeneity and estimate causal effects on financial interconnectedness and systemic risk</w:t>
      </w:r>
    </w:p>
    <w:p>
      <w:r>
        <w:t xml:space="preserve"> </w:t>
      </w:r>
    </w:p>
    <w:p>
      <w:pPr>
        <w:pStyle w:val="Heading2"/>
      </w:pPr>
      <w:r>
        <w:t>Short Hypothesis</w:t>
      </w:r>
    </w:p>
    <w:p>
      <w:r>
        <w:t>Increases in cross-firm homogeneity of risk perceptions cause higher systemic financial risk as measured by aggregate tail losses and contagion metrics.</w:t>
      </w:r>
    </w:p>
    <w:p>
      <w:r>
        <w:t xml:space="preserve"> </w:t>
      </w:r>
    </w:p>
    <w:p>
      <w:pPr>
        <w:pStyle w:val="Heading2"/>
      </w:pPr>
      <w:r>
        <w:t>Related Work</w:t>
      </w:r>
    </w:p>
    <w:p>
      <w:r>
        <w:t>Prior work falls into two strands: (1) text-analysis of corporate disclosures that extract topics, sentiment, or risk-related terms using bag-of-words, topic models, or single-model transformers; and (2) financial-network and systemic-risk studies that estimate contagion using holdings, CDS, and trade data and simulate cascades with models like Eisenberg–Noe or DebtRank. Limitations in existing approaches include: dependence on simple lexical or topic features that conflate mandated boilerplate with genuine signals; lack of structured measurement of cross-firm homogeneity; failure to quantify and propagate NLP measurement uncertainty into econometric or simulation stages; weak causal identification strategies for narrative-driven measures; and incomplete network coverage requiring strong assumptions when inferring edges. Few studies jointly combine rigorous disclosure-level extraction, uncertainty-aware measurement, pre-specified causal identification (IV/RD/event-study), and network contagion simulations. These gaps leave unanswered whether measured textual homogeneity reflects genuine alignment in firm perceptions that materially amplifies systemic risk.</w:t>
      </w:r>
    </w:p>
    <w:p>
      <w:r>
        <w:t xml:space="preserve"> </w:t>
      </w:r>
    </w:p>
    <w:p>
      <w:pPr>
        <w:pStyle w:val="Heading2"/>
      </w:pPr>
      <w:r>
        <w:t>Abstract</w:t>
      </w:r>
    </w:p>
    <w:p>
      <w:r>
        <w:t>We propose a unified empirical framework that uses text mining of corporate risk disclosures to measure homogeneity of firm risk perceptions and estimate its causal effect on financial interconnectedness and systemic risk. The approach extracts structured firm-quarter risk vectors from 10-K/10-Q risk factors and earnings calls, filters regulatory boilerplate, and quantifies homogeneity with metrics such as cosine similarity and Herfindahl concentration. We treat annotation and model error explicitly via a Bayesian hierarchical measurement model that produces multiple posterior imputations of firm risk vectors; each imputation is propagated into panel IV regressions and large-scale contagion simulations (Eisenberg–Noe, DebtRank, and fire-sale models). Identification uses pre-specified instruments and local-shock designs, with pre-registered diagnostics. The main contributions are (i) a reproducible pipeline that separates formulaic language from substantive risk discourse, (ii) uncertainty-aware homogeneity measures suitable for causal inference, and (iii) calibrated simulations showing how text-derived homogeneity alters systemic loss distributions. Expected outcomes include credible estimates of homogeneity’s causal role and uncertainty-aware scenario analyses for policymakers and risk managers.</w:t>
      </w:r>
    </w:p>
    <w:p>
      <w:r>
        <w:t xml:space="preserve"> </w:t>
      </w:r>
    </w:p>
    <w:p>
      <w:pPr>
        <w:pStyle w:val="Heading2"/>
      </w:pPr>
      <w:r>
        <w:t>Methodology</w:t>
      </w:r>
    </w:p>
    <w:p>
      <w:r>
        <w:t>1) Data collection and preprocessing: gather U.S. 10-K/10-Q risk-factor sections, MD&amp;A, earnings-call transcripts, and auxiliary exposure data (13F holdings, CDS spreads, TRACE trades, Compustat/CRSP, Panjiva/BvD). Map each document to firm-quarter and tag section positions. 2) Boilerplate detection: apply a three-step filter—(a) curated regulatory phrase lists and positional heuristics to flag mandated language, (b) TF-IDF and regex heuristics to flag highly repetitive text, and (c) a supervised classifier (fine-tuned transformer) trained on labelled boilerplate vs voluntary text. "Boilerplate" means recurring legally mandated phrases. 3) Annotation and supervised extraction: define a hierarchical taxonomy (risk topics: market, credit, operational, cyber, regulatory, ESG, supply-chain; 5-point severity; 3-point uncertainty/hedge flag; negation and temporality tags). Produce a gold set via stratified sampling by sector, firm size, and section; annotate ~4,000 documents with ~15% double annotation. Train supervised models (transformer encoders for classification and sequence tagging; Longformer/LED for long documents) to produce firm-quarter risk_topic_vectors: numeric vectors with topic weights and severity/uncertainty signals. 4) Measurement uncertainty: fit a Bayesian hierarchical measurement model that jointly models annotator error and classifier uncertainty to produce ≥500 posterior draws (imputations) of each firm-quarter risk vector. Explain: a Bayesian hierarchical model pools information across annotators and items to estimate true labels and uncertainty. 5) Homogeneity metrics: compute per-sector and cross-sector homogeneity measures per draw: pairwise cosine similarity to sector mean (cosine similarity measures angle between vectors), KL divergence to sector distribution (a distance between probability distributions), and Herfindahl index (concentration measure). 6) Network construction: assemble multiplex layers from direct data (13F portfolio overlap, CDS correlation, TRACE bond links, supply chains); where missing, infer edges using pro-rata allocation heuristics or correlation thresholds; report coverage and produce conservative/aggressive bounding networks. 7) Mapping and calibration: pre-specify three functional maps from homogeneity to contagion parameters: linear common-factor loading beta_common = a + b*Homog, logistic initiation P_fire = logistic(c + d*Homog + e*Centrality), and piecewise fire-sale severity phi(Homog) with breakpoint H0. Calibrate parameters by reduced-form regressions of realized comovement and portfolio rebalancing on lagged homogeneity and by moment-matching to historical crisis moments. 8) Simulations and inference: for each posterior draw, build node attributes, run shock ensembles across calibration grids using Eisenberg–Noe, DebtRank, and a liquidity fire-sale model, and compute systemic metrics (CoVaR, MES, SRISK, expected systemic loss, cascade size). Pool results across posterior draws using Rubin-style multiple imputation pooling to reflect measurement uncertainty. 9) Econometric causal tests: estimate panel IV and event-study models using pre-specified instruments (staggered guidance, commodity shocks, filing-deadline changes) and RD/local-shock options; report first-stage F, partial R2, overidentification tests, and lead/lag checks. 10) Reproducibility: containerize pipelines, version data artifacts, and publish pre-registered estimands and robustness grids. Technical terms explained simply: "transformer" is a modern neural model good at language tasks; "Bayesian hierarchical model" is a statistical model that pools related data and outputs uncertainty; "Eisenberg–Noe" and "DebtRank" are network models that simulate how losses spread among connected firms.</w:t>
      </w:r>
    </w:p>
    <w:p>
      <w:r>
        <w:t xml:space="preserve"> </w:t>
      </w:r>
    </w:p>
    <w:p>
      <w:pPr>
        <w:pStyle w:val="Heading2"/>
      </w:pPr>
      <w:r>
        <w:t>Experiments</w:t>
      </w:r>
    </w:p>
    <w:p>
      <w:r>
        <w:t>Datasets: - Text: U.S. Form 10-K (Item 1A risk factors), 10-Q, MD&amp;A, and earnings-call transcripts for listed U.S. firms (sample pilot: ~500 firms × 8 quarters ≈4,000 firm-quarters). - Network/exposure: 13F holdings (institutional ownership), CDS spreads, TRACE bond trades, Compustat/CRSP fundamentals and returns, Panjiva/BvD supply-chain edges. Baselines: (A) bag-of-words homogeneity (TF-IDF topic overlap), (B) single-model transformer homogeneity without boilerplate removal, (C) transformer-based homogeneity without Bayesian uncertainty (single point estimates), (D) full-text homogeneity (no boilerplate exclusion). Evaluation metrics: - NLP extraction: precision, recall, F1 per risk topic and per tag; inter-annotator agreement (Cohen’s kappa or Krippendorff’s alpha). - Instrument strength: first-stage F-statistic, partial R². - Causal estimates: IV coefficient, standard error, 95% CI, overidentification p-value. - Systemic outcomes: distribution summaries (mean, median), tail metrics (99th percentile loss), CoVaR, MES, SRISK, DebtRank and cascade size distributions. - Uncertainty calibration: coverage of 95% credible intervals across posterior draws. Experimental setup: 1) NLP training: stratified 5-fold cross-validation by sector and firm size; report OOS precision/recall/F1. 2) Boilerplate ablation: run pipeline with primary exclusion threshold p≥0.8 and robustness at p≥0.6 and p≥0.9; measure change in homogeneity distribution and sector composition. 3) Measurement uncertainty ablation: compare downstream econometric and simulation results using (i) Bayesian multiple-imputation draws (≥500), (ii) single-point NLP estimates, and (iii) classical errors-in-variables corrected estimates. 4) Network ablation: run simulations on (i) direct-data layers only, (ii) inferred networks only, and (iii) conservative vs aggressive pro-rata bounds. 5) Causal tests: pre-register event windows (returns [-10,+10] days), primary exposure lagged one quarter; run panel IV with firm and sector-time fixed effects; require first-stage F&gt;10 for reporting. 6) Comparison/ablation study: report baseline bag-of-words vs full transformer vs transformer+boilerplate-exclusion+Bayesian uncertainty across all downstream metrics. 7) Power and sensitivity: run simulation-based power analysis propagating observed pilot measurement-error distributions to compute minimum detectable effect sizes under planned sample sizes. Repetition and reporting: run all analyses across posterior draws and pool; report pooled estimates, between-draw variance, and robustness grid results.</w:t>
      </w:r>
    </w:p>
    <w:p>
      <w:r>
        <w:t xml:space="preserve"> </w:t>
      </w:r>
    </w:p>
    <w:p>
      <w:pPr>
        <w:pStyle w:val="Heading2"/>
      </w:pPr>
      <w:r>
        <w:t>Risk Factors And Limitations</w:t>
      </w:r>
    </w:p>
    <w:p>
      <w:r>
        <w:t>1) Annotation and NLP failure modes: low inter-annotator agreement for rare/ambiguous risk categories may reduce extractor accuracy; class imbalance may limit performance for rare topics. 2) Boilerplate misclassification: imperfect boilerplate detection can remove substantive content or retain formulaic language, biasing homogeneity estimates. 3) Coverage and selection bias: 13F covers large US equities only; CDS and TRACE data are sparse for non-financial or small issuers, causing biased network inference and limited external validity. 4) Measurement error and attenuation: even with Bayesian correction, residual measurement error can attenuate causal estimates and widen uncertainty. 5) Endogeneity and weak instruments: instruments may fail exclusion or be weak; rejection of IV assumptions undermines causal claims. 6) Reverse causality and feedback: systemic stress can induce homogenized disclosures, leading to simultaneity bias if timing is mis-specified. 7) Network inference errors: inferred edges and pro-rata allocations rely on strong assumptions; such errors propagate nonlinearly through contagion models. 8) Overfitting in calibration: calibrating mapping functions to a small set of crises risks overfitting and poor out-of-sample performance. 9) Computational cost: large ensembles (≥500 draws × many shock scenarios) incur high compute and storage demands. 10) Legal and reproducibility constraints: licensing or privacy restrictions may prevent sharing raw texts or exposure data, limiting reproducibility and external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