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repair_initiation_ca_ghana</w:t>
      </w:r>
    </w:p>
    <w:p>
      <w:r>
        <w:t xml:space="preserve"> </w:t>
      </w:r>
    </w:p>
    <w:p>
      <w:pPr>
        <w:pStyle w:val="Heading2"/>
      </w:pPr>
      <w:r>
        <w:t>Title</w:t>
      </w:r>
    </w:p>
    <w:p>
      <w:r>
        <w:t>A conversation-analytic investigation of repair initiation as a mechanism for resolving hearing, comprehension, and speaking troubles in Ghanaian ESL classrooms</w:t>
      </w:r>
    </w:p>
    <w:p>
      <w:r>
        <w:t xml:space="preserve"> </w:t>
      </w:r>
    </w:p>
    <w:p>
      <w:pPr>
        <w:pStyle w:val="Heading2"/>
      </w:pPr>
      <w:r>
        <w:t>Short Hypothesis</w:t>
      </w:r>
    </w:p>
    <w:p>
      <w:r>
        <w:t>Repair initiations that contain explicit verbal repair tokens combined with multimodal corroboration (gaze or gesture) cause a higher probability of immediate successful repair (first-turn uptake) than repair initiations lacking either explicit tokens or multimodal corroboration.</w:t>
      </w:r>
    </w:p>
    <w:p>
      <w:r>
        <w:t xml:space="preserve"> </w:t>
      </w:r>
    </w:p>
    <w:p>
      <w:pPr>
        <w:pStyle w:val="Heading2"/>
      </w:pPr>
      <w:r>
        <w:t>Related Work</w:t>
      </w:r>
    </w:p>
    <w:p>
      <w:r>
        <w:t>Conversation analysis (CA) and classroom interaction research have documented repair initiation formats (open vs restricted), multimodal resources (gaze, gesture), and code-switching as tools for resolving communication trouble in language classrooms. Prior work shows teachers and learners employ various repair mechanisms and that multilingual environments use code-switching for clarification. Limitations in existing studies include inconsistent operational definitions for repair-source categories (hearing, comprehension, speaking), weak treatment of temporal alignment and overlap in reliability measures, under-specified multimodal transcription conventions, small and convenience-biased samples, and insufficient pre-registered analysis plans. Existing quantitative treatments often ignore sequential dependence and provide limited reproducibility due to sparse decision rules for ambiguous cases and incomplete anonymization protocols that trade off embodied cue preservation against privacy.</w:t>
      </w:r>
    </w:p>
    <w:p>
      <w:r>
        <w:t xml:space="preserve"> </w:t>
      </w:r>
    </w:p>
    <w:p>
      <w:pPr>
        <w:pStyle w:val="Heading2"/>
      </w:pPr>
      <w:r>
        <w:t>Abstract</w:t>
      </w:r>
    </w:p>
    <w:p>
      <w:r>
        <w:t>This study examines how repair initiation functions to resolve hearing, comprehension, and speaking troubles in Ghanaian ESL classrooms using conversation analysis of a 52-hour multimodal corpus. We develop explicit decision rules and a decision-flow diagram to classify repair initiations by source (hearing, comprehension, speaking), implement multimodal transcription tiers (verbal tokens, gaze, gesture, code-switch tags), and measure sequence-aware interrater reliability with temporal-tolerance and event-overlap metrics. The main contribution is an operationalized, reproducible protocol linking repair-initiation formats and multimodal cues to measurable repair outcomes (immediate uptake, latency). Expected outcomes include empirically justified temporal-tolerance thresholds, quantified effects of multimodal corroboration on repair success, and shareable anonymized annotation templates that support CA-consistent analyses and pedagogically relevant findings for multilingual ESL teaching contexts.</w:t>
      </w:r>
    </w:p>
    <w:p>
      <w:r>
        <w:t xml:space="preserve"> </w:t>
      </w:r>
    </w:p>
    <w:p>
      <w:pPr>
        <w:pStyle w:val="Heading2"/>
      </w:pPr>
      <w:r>
        <w:t>Methodology</w:t>
      </w:r>
    </w:p>
    <w:p>
      <w:r>
        <w:t>1) Corpus preparation: use the 52 hours of classroom recordings (12 sessions, 8 teachers). Create synchronized ELAN files with audio (WAV 48 kHz/24-bit) and video tiers. 2) Decision-flow diagram: build a flowchart that assigns repair-source based on observable cues in this priority order: explicit verbal token (e.g., "What?", "Eh?"), meaning-question or translation request, self-repair markers (cut-off, hesitation). 3) Multimodal tiers: add separate annotation tiers for (a) verbal repair token, (b) gaze direction, (c) gesture type, (d) code-switch tag with language label and subtag (translation/elicitation/repair-resource). 4) Transcription conventions: use Jeffersonian conventions for overlap and timing; provide gloss tier for Akan or other local languages. (Jeffersonian: a detailed system to mark talk timing and overlap.) 5) Interrater reliability (IRR): annotate a 20% stratified sample for IRR. Compute Cohen's kappa for pairwise categorical tiers, Krippendorff's alpha for multi-coder tiers, and IoU (intersection-over-union) for event intervals. Use a primary temporal-tolerance window (±300 ms) to match onsets; run sensitivity tests at ±150 ms and ±450 ms. 6) Adjudication: flag ambiguous or mixed-source tokens; resolve in meetings with ELAN playback; version changes in Git. 7) Outcome measures: code immediate uptake (first recognisable uptake token), latency to uptake in milliseconds (timestamp of uptake onset minus repair-initiation onset), and resolution outcome (resolved/partial/failed). 8) Quantitative analysis: fit mixed-effects logistic or Poisson models with random intercepts for teacher and student where feasible; if teacher N is low, use cluster-robust bootstrapping or permutation tests. 9) Documentation and preregistration: predefine primary hypotheses, primary measures, inclusion rules for multimodal completeness, and planned contrasts before full analysis.</w:t>
      </w:r>
    </w:p>
    <w:p>
      <w:r>
        <w:t xml:space="preserve"> </w:t>
      </w:r>
    </w:p>
    <w:p>
      <w:pPr>
        <w:pStyle w:val="Heading2"/>
      </w:pPr>
      <w:r>
        <w:t>Experiments</w:t>
      </w:r>
    </w:p>
    <w:p>
      <w:r>
        <w:t>Datasets: primary dataset = 52 hours multimodal recordings (12 sessions, 8 teachers). Create analysis subset: (A) 20% stratified IRR sample (random stratified by teacher, urban/rural, grade), (B) full annotated corpus for model fitting. Baselines: 1) audio-only coding (verbal tokens only), 2) single-coder naive labels (no adjudication), 3) multimodal coding with no code-switch tags. Metrics: Cohen's kappa, Krippendorff's alpha, Gwet's AC1 for IRR; IoU distribution for temporal overlap; immediate repair success rate (proportion of repair attempts with immediate uptake); latency to uptake (ms median and distribution); mixed-effects model coefficients (log-odds, SE, p-value), bootstrap 95% CIs (2,000 resamples). Experimental setup: 1) IRR phase: annotate 20% sample, compute IRR metrics at ±150, ±300, ±450 ms; report sensitivity. 2) Primary test: compare immediate repair success rate between repairs with both explicit token + multimodal corroboration versus repairs without (use mixed-effects logistic regression with random intercepts for teacher and student if supported; otherwise use cluster-robust SEs at teacher level). 3) Ablation study: remove multimodal tiers and re-estimate models to measure change in effect size; remove code-switch tags in a second ablation. 4) Sequence sensitivity: fit Markov transition models to test sequential dependence of repair events (estimate transition probabilities and lag effects). 5) Power and robustness: run pre-analysis power simulations for mixed models across teacher N scenarios (8, 12, 20) and report minimum detectable effect sizes. 6) Reporting: provide confusion matrices, IoU histograms, alignment scores, model diagnostics, and bootstrap CIs for all primary contrasts.</w:t>
      </w:r>
    </w:p>
    <w:p>
      <w:r>
        <w:t xml:space="preserve"> </w:t>
      </w:r>
    </w:p>
    <w:p>
      <w:pPr>
        <w:pStyle w:val="Heading2"/>
      </w:pPr>
      <w:r>
        <w:t>Risk Factors And Limitations</w:t>
      </w:r>
    </w:p>
    <w:p>
      <w:r>
        <w:t>1) Small teacher sample size (N=8) limits generalizability and power for random-slope mixed models. 2) Missing or poor-quality video (occluded faces, camera angle) may reduce availability of multimodal cues and bias which events can be analyzed. 3) Annotation subjectivity and coder drift despite training; IRR targets may not be reached, increasing adjudication load. 4) Temporal alignment errors (clock drift, synchronization issues) can affect IoU and latency estimates. 5) Sequential dependence in conversation complicates standard statistical assumptions (independence). 6) Privacy constraints may limit public sharing of illustrative clips, reducing reproducibility. 7) High annotation workload (many person-hours) may slow completion or force reduced sample sizes. 8) Findings may not generalize beyond Ghanaian ESL classrooms with different sociolinguistic ecologies.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