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military_boards_audit_em</w:t>
      </w:r>
    </w:p>
    <w:p>
      <w:r>
        <w:t xml:space="preserve"> </w:t>
      </w:r>
    </w:p>
    <w:p>
      <w:pPr>
        <w:pStyle w:val="Heading2"/>
      </w:pPr>
      <w:r>
        <w:t>Title</w:t>
      </w:r>
    </w:p>
    <w:p>
      <w:r>
        <w:t>Panel and quasi-experimental analysis of military-affiliated board directors and audit-quality moderation on accrual and real earnings management in Pakistan</w:t>
      </w:r>
    </w:p>
    <w:p>
      <w:r>
        <w:t xml:space="preserve"> </w:t>
      </w:r>
    </w:p>
    <w:p>
      <w:pPr>
        <w:pStyle w:val="Heading2"/>
      </w:pPr>
      <w:r>
        <w:t>Short Hypothesis</w:t>
      </w:r>
    </w:p>
    <w:p>
      <w:r>
        <w:t>The presence and greater proportion of military-affiliated directors on corporate boards causally reduce accrual-based and real earnings management in non-financial Pakistan Stock Exchange firms, with stronger reductions when audit quality is higher.</w:t>
      </w:r>
    </w:p>
    <w:p>
      <w:r>
        <w:t xml:space="preserve"> </w:t>
      </w:r>
    </w:p>
    <w:p>
      <w:pPr>
        <w:pStyle w:val="Heading2"/>
      </w:pPr>
      <w:r>
        <w:t>Related Work</w:t>
      </w:r>
    </w:p>
    <w:p>
      <w:r>
        <w:t>Existing research links military-affiliated directors to corporate governance outcomes and reports both constrained reporting and cases of manipulation in emerging markets. Prior studies commonly use single proxies for military ties and audit quality, focus on accrual measures only, and rely on OLS or simple fixed-effects models. Limitations include weak treatment identification due to nonrandom appointments, scarce use of real earnings management (REM) measures, limited audit-quality composites adapted to local markets, and inadequate robustness to staggered appointments or auditor switches. Few studies pre-specify coding rules for military affiliation or validate textual audit signals across long panels. Instrumental-variable and event-study designs have been proposed before but are often underpowered or lack comprehensive falsification tests in contexts with political-military entanglement.</w:t>
      </w:r>
    </w:p>
    <w:p>
      <w:r>
        <w:t xml:space="preserve"> </w:t>
      </w:r>
    </w:p>
    <w:p>
      <w:pPr>
        <w:pStyle w:val="Heading2"/>
      </w:pPr>
      <w:r>
        <w:t>Abstract</w:t>
      </w:r>
    </w:p>
    <w:p>
      <w:r>
        <w:t>This study examines whether military-affiliated directors on corporate boards affect accrual-based and real earnings management in non-financial firms listed on the Pakistan Stock Exchange from 2010 to 2022, and whether audit quality moderates these effects. We combine panel fixed-effects and quasi-experimental methods to estimate causal links while separating accrual and real channels of earnings management. Military affiliation is coded at the director level using a transparent source hierarchy and aggregated into presence and proportion measures. Audit quality is summarized in a multi-proxy index capturing auditor reputation and process signals. Main contributions are: (1) jointly analyzing accrual and real earnings management in an emerging-market setting, (2) using staggered event-study and IV designs to improve causal identification, and (3) delivering a validated, context-aware audit-quality measure. We expect clearer evidence on how board military experience and external audit interact to shape corporate reporting, informing regulators and governance practitioners in similar institutional contexts.</w:t>
      </w:r>
    </w:p>
    <w:p>
      <w:r>
        <w:t xml:space="preserve"> </w:t>
      </w:r>
    </w:p>
    <w:p>
      <w:pPr>
        <w:pStyle w:val="Heading2"/>
      </w:pPr>
      <w:r>
        <w:t>Methodology</w:t>
      </w:r>
    </w:p>
    <w:p>
      <w:r>
        <w:t>1. Data assembly: collect firm-year financials, director lists, auditor identity, audit fees, and audit reports for non-financial PSX firms (2010–2022). Use official bios, SECP/PSX filings, company reports, and major news as sources. 2. Military-affiliation coding: mark a director as military-affiliated if a verifiable active, retired, or reserve rank or explicit retired-officer status is present in primary sources. Record binary presence, proportion on board, and optional rank/tenure when available. Resolve ambiguous or dual military/political roles by coding a separate flag. 3. AEM measures: compute total accruals scaled by lagged assets and estimate discretionary accruals using the Modified Jones model and Kothari performance-adjusted variant; discretionary accruals are the residuals from these regressions. (Residual = unexplained accruals after accounting for normal performance.) 4. REM measures: follow Roychowdhury to model expected cash flow from operations, production costs, and discretionary expenses; compute abnormal (unexpected) components and form a standardized composite REM z-score. 5. Audit-quality index: assemble proxies (Big Four dummy; auditor tenure standardized; normalized audit-fee residuals from fee regressions on size/industry/year; modified-audit-opinion flag; textual concern score from auditor report). Use PCA (principal component analysis) to extract a first-factor index and also retain individual proxies. PCA: a statistical way to combine variables into a single score capturing shared variation. 6. Econometric strategy: estimate panel models with firm and year fixed effects. Test causality with (a) propensity-score matched samples, (b) staggered event-study DiD estimators (Sun &amp; Abraham; Callaway &amp; Sant’Anna) for appointments and auditor switches, and (c) IV regressions using proximity to cantonments and district retired-officer density as instruments for military presence. 7. Interaction tests: include mean-centered interaction terms between military measures and audit-quality index to test moderation and report marginal effects. 8. Robustness: check alternative winsorization, estimation windows, REM scaling, placebo outcomes, pre-trend leads, and sensitivity to instrument validity.</w:t>
      </w:r>
    </w:p>
    <w:p>
      <w:r>
        <w:t xml:space="preserve"> </w:t>
      </w:r>
    </w:p>
    <w:p>
      <w:pPr>
        <w:pStyle w:val="Heading2"/>
      </w:pPr>
      <w:r>
        <w:t>Experiments</w:t>
      </w:r>
    </w:p>
    <w:p>
      <w:r>
        <w:t>Dataset: panel of non-financial PSX-listed firms, 2010–2022, firm-year observations. Primary dependent variables: AEM_ModJones (discretionary accruals from Modified Jones), AEM_Kothari (Kothari performance-adjusted residuals), REM_composite (standardized REM z-score), and REM components (abnormal CFO, abnormal production, abnormal discretionary expenses). Baselines: (1) OLS with firm and year fixed effects; (2) propensity-score matched OLS on pre-treatment covariates; (3) staggered DiD using Callaway &amp; Sant’Anna and Sun &amp; Abraham estimators with event windows ±3 years; (4) IV two-stage least squares using instruments (distance to nearest cantonment in km; district retired-officer density per 10,000 pop.); (5) system GMM as robustness for persistence. Controls: firm size, leverage, ROA, firm age, ownership type (state/family/foreign), board independence, CEO duality, industry fixed effects. Estimation details: cluster standard errors at firm level; alternative two-way clustering (firm and industry-year); mean-center interaction terms; winsorize continuous vars at 1%/99% primary. Evaluation metrics: coefficient estimates and t-statistics, marginal effects for interactions with 95% CIs, first-stage F-statistic and Kleibergen-Paap statistic for IV, pre-trend coefficients and placebo p-values, R-squared, and detectable-effect sizes from power calculations. Ablation study: compare main results when using (A) full PCA audit-quality index versus (B) Big Four dummy only, and (C) index excluding audit-fee proxy to evaluate contribution of each component. Additional test: exclude SOEs and run subsamples by ownership to assess heterogeneity. Pre-registered falsification tests: predict non-discretionary accruals and CAPEX growth; permutation of instrument values; lead-coefficient = 0 checks in event-study.</w:t>
      </w:r>
    </w:p>
    <w:p>
      <w:r>
        <w:t xml:space="preserve"> </w:t>
      </w:r>
    </w:p>
    <w:p>
      <w:pPr>
        <w:pStyle w:val="Heading2"/>
      </w:pPr>
      <w:r>
        <w:t>Risk Factors And Limitations</w:t>
      </w:r>
    </w:p>
    <w:p>
      <w:r>
        <w:t>1. Instrument invalidity: proximity to cantonments or retired-officer density may correlate with unobserved regional traits (political ties, industry mix) violating exclusion. 2. Weak instruments and low power: instruments may be weak, producing imprecise IV estimates and wide CIs. 3. Measurement error: incomplete or inaccurate director bios, ambiguous rank reporting, and misclassification of military status. 4. Audit-data gaps: missing or inconsistent audit fees and opinion language across years reduce index quality. 5. Limited Big Four presence: small number of Big Four clients in Pakistan may limit variation in audit-quality proxies. 6. Staggered adoption complexity: appointment timing and auditor switches are staggered, complicating causal inference and possibly biasing naive DiD. 7. NLP drift: changes in audit-report language over 2010–2022 may bias textual concern scores. 8. Endogeneity of auditor choice: auditor selection may be endogenous to firm reporting incentives. 9. Generalizability: findings from Pakistan may not transfer to other countries with different institutional or military roles. 10. Political sensitivity and data access: legal or privacy constraints may limit access to personnel details and public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