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saudi_teachers_21c_skills_mixedmethods</w:t>
      </w:r>
    </w:p>
    <w:p>
      <w:r>
        <w:t xml:space="preserve"> </w:t>
      </w:r>
    </w:p>
    <w:p>
      <w:pPr>
        <w:pStyle w:val="Heading2"/>
      </w:pPr>
      <w:r>
        <w:t>Title</w:t>
      </w:r>
    </w:p>
    <w:p>
      <w:r>
        <w:t>A sequential exploratory mixed-methods study of English and mathematics teachers' integration of 21st century skills in Saudi classrooms</w:t>
      </w:r>
    </w:p>
    <w:p>
      <w:r>
        <w:t xml:space="preserve"> </w:t>
      </w:r>
    </w:p>
    <w:p>
      <w:pPr>
        <w:pStyle w:val="Heading2"/>
      </w:pPr>
      <w:r>
        <w:t>Short Hypothesis</w:t>
      </w:r>
    </w:p>
    <w:p>
      <w:r>
        <w:t>Higher levels of institutional and contextual barriers (exam pressure, limited resources, large class size) cause lower frequency and lower quality integration of creativity, collaboration, critical thinking, and communication in Saudi English and mathematics classrooms.</w:t>
      </w:r>
    </w:p>
    <w:p>
      <w:r>
        <w:t xml:space="preserve"> </w:t>
      </w:r>
    </w:p>
    <w:p>
      <w:pPr>
        <w:pStyle w:val="Heading2"/>
      </w:pPr>
      <w:r>
        <w:t>Related Work</w:t>
      </w:r>
    </w:p>
    <w:p>
      <w:r>
        <w:t>Existing work in Saudi Arabia and comparable contexts uses mixed methods to examine 21st century skills integration, often relying on teacher self-report surveys, small-scale interviews, or single-site observations. Approaches vary: some studies focus on curriculum and stakeholder perspectives; others develop classroom rubrics or survey scales. Common limitations are over-reliance on self-report (which inflates practice estimates), few validated multi-item measures per skill, limited psychometric testing (rarely reporting EFA/CFA, measurement invariance, or clustering effects), small or convenience samples that limit generalization, inadequate handling of clustered data or missingness, and limited discipline-specific operationalizations for English vs mathematics. Observational instruments that exist often lack behaviorally anchored quality ratings, and many studies do not triangulate observations, artifacts, and survey data. These gaps leave unresolved questions about true classroom enactment levels, psychometric validity of measures, and the relative impact of school-level barriers.</w:t>
      </w:r>
    </w:p>
    <w:p>
      <w:r>
        <w:t xml:space="preserve"> </w:t>
      </w:r>
    </w:p>
    <w:p>
      <w:pPr>
        <w:pStyle w:val="Heading2"/>
      </w:pPr>
      <w:r>
        <w:t>Abstract</w:t>
      </w:r>
    </w:p>
    <w:p>
      <w:r>
        <w:t>This study measures how English and mathematics teachers in Saudi schools integrate four 21st century skills—creativity, collaboration, critical thinking, and communication—using a sequential exploratory mixed-methods design. Phase 1 generates grounded indicators through classroom observations and semi-structured interviews, producing behaviorally anchored rubric items and barrier themes. Phase 2 uses these items to build a bilingual survey validated with exploratory and confirmatory factor analysis, then administered across a clustered sample of schools. Quantitative analysis uses multilevel mixed-effects models to estimate how teacher- and school-level barriers predict frequency and quality of skill integration, modeling count and quality outcomes appropriately. The main contributions are: (1) discipline-specific, behaviorally anchored observation rubrics for English and mathematics; (2) a psychometrically tested bilingual teacher survey; and (3) integrated evidence linking observed classroom behaviors, teacher perceptions, and contextual barriers. Expected outcomes include reliable measures, quantified barrier effects on practice, and actionable evidence to guide professional development and policy in the Saudi context.</w:t>
      </w:r>
    </w:p>
    <w:p>
      <w:r>
        <w:t xml:space="preserve"> </w:t>
      </w:r>
    </w:p>
    <w:p>
      <w:pPr>
        <w:pStyle w:val="Heading2"/>
      </w:pPr>
      <w:r>
        <w:t>Methodology</w:t>
      </w:r>
    </w:p>
    <w:p>
      <w:r>
        <w:t>1. Sampling: stratified purposeful sampling across regions, school types, and gender-segregated settings. Pilot: ~12 schools, 40–50 teachers. Main: 30–40 schools, 300–350 teachers (8–10 teachers/school). 2. Instrument development: conduct forward–back translation for Arabic/English; run cognitive interviews (8–10 teachers) to check meaning. 3. Qualitative phase: conduct 2 classroom observations per teacher, record field notes, collect student artifacts, and perform semi-structured interviews (3–4 teachers per school). Develop behaviorally anchored rubrics for each skill with low/medium/high anchors. (Behaviorally anchored means specific, observable actions tied to each rating.) 4. Observer training: 3 calibration sessions using video exemplars; pilot double-code 6–8 classrooms; ongoing double-coding of ~20% of lessons to monitor drift. 5. Quantitative instrument: derive survey items from qualitative themes; capture frequency (how often) and quality (depth) separately; include a short social desirability scale. 6. Psychometrics: split sample for EFA and CFA. EFA with oblique rotation (Promax) to allow correlated skills; retain items with loadings &gt;0.40. CFA uses ML estimation and fit indices (RMSEA, CFI, TLI, SRMR). Test configural, metric, and scalar invariance across subject, gender, region. 7. Scoring: compute standardized frequency and quality scores per item; create validated subscales per skill using factor scores or mean of retained items. 8. Analysis: fit multilevel mixed-effects models with random intercepts for schools and random slopes as needed. Model frequency counts with appropriate count models (negative binomial or zero-inflated if overdispersion/zeros). Use multilevel multiple imputation for missing data (e.g., mice two-level or jomo) with m &gt;= 40 imputations; include cluster-level auxiliaries. 9. Integration: create joint displays linking qualitative themes, rubric scores, and survey subscales. (Joint display is a table or graphic that places qualitative and quantitative results side-by-side.)</w:t>
      </w:r>
    </w:p>
    <w:p>
      <w:r>
        <w:t xml:space="preserve"> </w:t>
      </w:r>
    </w:p>
    <w:p>
      <w:pPr>
        <w:pStyle w:val="Heading2"/>
      </w:pPr>
      <w:r>
        <w:t>Experiments</w:t>
      </w:r>
    </w:p>
    <w:p>
      <w:r>
        <w:t>Datasets: Pilot observations and interviews: 12 schools, 40–50 teachers, 2 observations each, 40–50 interviews, student artifacts. Main study: 30–40 schools, 300–350 teachers; 1–2 observations per teacher; survey responses N=300–350; student short tasks from sampled classes. Baselines: (A) self-report-only survey model without observational data; (B) observation-only model without survey-derived perceptions; (C) unadjusted models that ignore social desirability and clustering. Metrics: psychometric—factor loadings (&gt;0.40), communalities (&gt;0.40), Cronbach's alpha and McDonald's omega (&gt;0.80), RMSEA (&lt;0.06), CFI/TLI (&gt;0.95), SRMR (&lt;0.08); reliability—ICC (&gt;0.75) for continuous ratings, Cohen's kappa (&gt;0.70) for categorical codes; predictive—standardized fixed-effect sizes (Cohen's d) and p-values; count-model fit—AIC/BIC, dispersion statistics, Vuong test for zero-inflation. Experimental steps: 1) Run EFA on half the survey sample to identify factor structure and item retention. 2) Run CFA on the holdout half to confirm structure and test invariance by subject and gender. 3) Compute reliability and inter-rater agreement from pilot double-coded lessons. 4) Estimate multilevel mixed-effects models predicting frequency (negative binomial or zero-inflated negative binomial) and quality (linear mixed model) of skill integration from barrier scales and covariates (teacher experience, PD, class size, school SES, urban/rural). 5) Compare baselines A–C to full integrated model using likelihood and predictive fit. Ablation studies: (i) remove quality dimension and re-run models; (ii) omit social desirability control; (iii) treat counts as ordinal instead of count models. 6) Missing-data protocol: perform multilevel multiple imputation (m=40), run primary models on each imputed dataset, pool estimates. 7) Sensitivity analyses: pattern-mixture and delta-adjustment checks for MNAR scenarios. 8) Report thresholds and all code for reproducibility.</w:t>
      </w:r>
    </w:p>
    <w:p>
      <w:r>
        <w:t xml:space="preserve"> </w:t>
      </w:r>
    </w:p>
    <w:p>
      <w:pPr>
        <w:pStyle w:val="Heading2"/>
      </w:pPr>
      <w:r>
        <w:t>Risk Factors And Limitations</w:t>
      </w:r>
    </w:p>
    <w:p>
      <w:r>
        <w:t>1. Approval and access delays from Ministry of Education and schools may delay data collection. 2. Shortage of trained female observers for girls' schools could limit balanced sampling. 3. Social desirability and observer reactivity may bias self-report and observed behaviors. 4. Measurement failure risk: factor structure may not validate across subjects or genders (lack of invariance). 5. Missing data may be MNAR (not missing at random), reducing validity of imputation. 6. Low or higher-than-expected ICCs may reduce power for multilevel tests. 7. Overdispersion or excess zeros in count data could complicate modeling and interpretation. 8. Limited generalizability beyond sampled regions and to non-Saudi contexts. 9. Resource limits (time, budget) may constrain sample size or number of observations per class. 10. Student consent procedures may reduce access to artifacts or in-class tasks, limiting criterion validity checks.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