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social_capital_digital_literacy_ses_cn</w:t>
      </w:r>
    </w:p>
    <w:p>
      <w:r>
        <w:t xml:space="preserve"> </w:t>
      </w:r>
    </w:p>
    <w:p>
      <w:pPr>
        <w:pStyle w:val="Heading2"/>
      </w:pPr>
      <w:r>
        <w:t>Title</w:t>
      </w:r>
    </w:p>
    <w:p>
      <w:r>
        <w:t>Multilevel mediation analysis of social capital, digital literacy, and socioeconomic status on higher education access in China</w:t>
      </w:r>
    </w:p>
    <w:p>
      <w:r>
        <w:t xml:space="preserve"> </w:t>
      </w:r>
    </w:p>
    <w:p>
      <w:pPr>
        <w:pStyle w:val="Heading2"/>
      </w:pPr>
      <w:r>
        <w:t>Short Hypothesis</w:t>
      </w:r>
    </w:p>
    <w:p>
      <w:r>
        <w:t>Greater individual social capital increases the probability of enrolling in higher education among Chinese high school graduates, and part of this causal effect operates through higher digital literacy controlling for socioeconomic status and observed covariates.</w:t>
      </w:r>
    </w:p>
    <w:p>
      <w:r>
        <w:t xml:space="preserve"> </w:t>
      </w:r>
    </w:p>
    <w:p>
      <w:pPr>
        <w:pStyle w:val="Heading2"/>
      </w:pPr>
      <w:r>
        <w:t>Related Work</w:t>
      </w:r>
    </w:p>
    <w:p>
      <w:r>
        <w:t>Prior quantitative studies link socioeconomic status, social capital, and digital skills to higher education access using regression and descriptive analyses. Existing approaches typically use observed summary scores, single-level regressions, or standard mediation tests that ignore clustering, measurement error, and survey design. Psychometric work on digital literacy often relies on self-reports rather than combined performance tasks and rarely tests item bias across regions or hukou groups. Causal efforts use instrumental variables or natural experiments in isolation but lack integrated measurement models that jointly estimate latent constructs and propagate their uncertainty into causal mediation estimates. Limitations include: (1) measurement bias and untested DIF across subgroups, (2) ignored clustering by school and province in inference, (3) weak identification when relying solely on cross-sectional associations, and (4) sparse sensitivity analyses for mediator–outcome confounding and interference.</w:t>
      </w:r>
    </w:p>
    <w:p>
      <w:r>
        <w:t xml:space="preserve"> </w:t>
      </w:r>
    </w:p>
    <w:p>
      <w:pPr>
        <w:pStyle w:val="Heading2"/>
      </w:pPr>
      <w:r>
        <w:t>Abstract</w:t>
      </w:r>
    </w:p>
    <w:p>
      <w:r>
        <w:t>This study examines how social capital shapes access to higher education for Chinese high school graduates and whether digital literacy mediates that relationship. We combine survey-weighted psychometric measurement of social capital and digital literacy (self-report items plus three short performance tasks) with multilevel causal mediation methods that account for school clustering and sampling design. Main contributions are: (1) joint estimation of latent measures using IRT/CFA and propagation of measurement uncertainty into mediation estimates via Bayesian multilevel SEM or g-computation; (2) preregistered DIF checks, weighting rules, and a sensitivity-analysis suite for unmeasured confounding and interference; and (3) policy-focused effect sizes reported as percentage-point changes and affected-population counts. Expected outcomes include robust estimates of direct and indirect effects of social capital on enrollment, evidence on heterogeneity by SES and region, and reproducible code and synthetic data to support transparent policy interpretation.</w:t>
      </w:r>
    </w:p>
    <w:p>
      <w:r>
        <w:t xml:space="preserve"> </w:t>
      </w:r>
    </w:p>
    <w:p>
      <w:pPr>
        <w:pStyle w:val="Heading2"/>
      </w:pPr>
      <w:r>
        <w:t>Methodology</w:t>
      </w:r>
    </w:p>
    <w:p>
      <w:r>
        <w:t>1. Measurement: collect self-report items for social capital (bonding, bridging, linking) and digital-literacy domains plus three timed performance tasks (information retrieval, document synthesis, evaluation). Pilot N=40 balanced by region and SES to estimate item difficulty and discrimination. 2. Psychometrics: fit weighted exploratory factor analysis (EFA) then confirmatory factor analysis (CFA) using survey weights; run two-level IRT/CFA with random intercepts for school to produce latent scores (EAP). Test differential item functioning (DIF) across region, hukou, and SES using thresholds: difficulty shift &gt;0.5 logits or discrimination change &gt;0.2 or ΔR2&gt;0.03 (FDR-corrected). Anchor invariant items or prune severe items. 3. Missingness and weights: estimate unit-response propensities, apply inverse-probability weights and raking; use multilevel multiple imputation (jomo/mice) including strata and cluster indicators. 4. Causal models: primary estimator is Bayesian multilevel mediation (multilevel SEM or g-computation) with random intercepts for schools and survey probability weights where supported; this jointly propagates measurement uncertainty by including item-level models in the Bayesian hierarchy. Define estimands NDE and NIE via potential outcomes Y(a,m). 5. Robustness: run alternative frequentist mediation with cluster-robust SEs, IV checks (if valid instruments available), overidentification/first-stage tests, and sensitivity analyses (medsens, E-values, Oster bounds). 6. Power and simulation: Monte Carlo grid over ICCs, cluster counts, baseline rates, and effect sizes (5,000 reps) to report MDEs. 7. Software: Stan/brms or blavaan for Bayesian joint models; lavaan.survey for weighted CFA; R scripts for DIF, imputation, weighting, and simulations.</w:t>
      </w:r>
    </w:p>
    <w:p>
      <w:r>
        <w:t xml:space="preserve"> </w:t>
      </w:r>
    </w:p>
    <w:p>
      <w:pPr>
        <w:pStyle w:val="Heading2"/>
      </w:pPr>
      <w:r>
        <w:t>Experiments</w:t>
      </w:r>
    </w:p>
    <w:p>
      <w:r>
        <w:t>Datasets: primary survey (n≈629; ~50 schools) stratified by East/Central/West and urban/rural; pilot N=40 for digital tasks; optional linked administrative gaokao/enrollment data if DUAs succeed. Baselines: (A) single-level logistic regression using observed sum scores; (B) multilevel logistic model with observed scores and cluster random intercepts; (C) multilevel mediation with latent scores but ignoring measurement uncertainty; (D) primary joint Bayesian multilevel measurement–mediation model that propagates measurement error. Ablation studies: 1) compare models using sum scores vs IRT latent scores; 2) compare mediation results with vs without propagating measurement uncertainty; 3) compare weighted vs unweighted estimation; 4) test IV-mediated mediation using county broadband rollout timing as instrument where available. Evaluation metrics: main outcome metrics are average marginal effects (AME) in percentage points, odds ratios, and estimated NDE/NIE with 95% credible or confidence intervals; measurement metrics include item-total correlations, Cronbach’s alpha/omega, IRT discrimination/difficulty, RMSEA and CFI for CFA, and DIF statistics. Experimental setup: run Bayesian estimation with four chains, 2,000 warmup and 2,000 post-warmup draws, check R-hat&lt;1.05 and effective sample sizes&gt;400; run 5,000 Monte Carlo simulations for power grid; control multiplicity using hierarchical testing for primary hypotheses and FDR for secondaries; report cluster-robust CIs and wild-cluster bootstrap when clusters&lt;40.</w:t>
      </w:r>
    </w:p>
    <w:p>
      <w:r>
        <w:t xml:space="preserve"> </w:t>
      </w:r>
    </w:p>
    <w:p>
      <w:pPr>
        <w:pStyle w:val="Heading2"/>
      </w:pPr>
      <w:r>
        <w:t>Risk Factors And Limitations</w:t>
      </w:r>
    </w:p>
    <w:p>
      <w:r>
        <w:t>1. Unmeasured confounding: mediator–outcome confounders affected by exposure may bias indirect estimates. 2. Interference: network spillovers violate SUTVA because social capital is relational. 3. Reverse causation: enrollment intentions or outcomes could influence reported social capital/digital activity in cross-section. 4. Measurement error and DIF: latent scores may be biased or non-comparable across subgroups. 5. Small cluster counts: fewer than ~40 schools weakens cluster-robust inference. 6. Nonresponse and selection: biased participation or failure to obtain DUAs for administrative linkage limits external validity. 7. Instrument weakness: candidate IVs (broadband rollouts, quota cutoffs) may fail exclusion or be weak (F&lt;10). 8. Computational cost: Bayesian joint models with item-level data and clustering can be slow and require high-performance compute. 9. Limited generalization: results may not generalize beyond sampled provinces, cohorts, or to different gaokao regimes. 10. Privacy and legal constraints: Chinese data governance may restrict access to administrative linkages and exact location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