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student_prompt_chatgpt_texts</w:t>
      </w:r>
    </w:p>
    <w:p>
      <w:r>
        <w:t xml:space="preserve"> </w:t>
      </w:r>
    </w:p>
    <w:p>
      <w:pPr>
        <w:pStyle w:val="Heading2"/>
      </w:pPr>
      <w:r>
        <w:t>Title</w:t>
      </w:r>
    </w:p>
    <w:p>
      <w:r>
        <w:t>Using ChatGPT-4 generated texts from student prompts to improve fourth-grade reading, comprehension, and reading motivation: a sequential explanatory mixed-methods study</w:t>
      </w:r>
    </w:p>
    <w:p>
      <w:r>
        <w:t xml:space="preserve"> </w:t>
      </w:r>
    </w:p>
    <w:p>
      <w:pPr>
        <w:pStyle w:val="Heading2"/>
      </w:pPr>
      <w:r>
        <w:t>Short Hypothesis</w:t>
      </w:r>
    </w:p>
    <w:p>
      <w:r>
        <w:t>Fourth-grade students who read texts generated by ChatGPT-4 from their own prompts will show larger gains in reading comprehension at posttest than students who read teacher-selected texts.</w:t>
      </w:r>
    </w:p>
    <w:p>
      <w:r>
        <w:t xml:space="preserve"> </w:t>
      </w:r>
    </w:p>
    <w:p>
      <w:pPr>
        <w:pStyle w:val="Heading2"/>
      </w:pPr>
      <w:r>
        <w:t>Related Work</w:t>
      </w:r>
    </w:p>
    <w:p>
      <w:r>
        <w:t>Prior approaches include teacher-selected leveled texts, algorithmic leveled texts, and AI-generated texts produced from fixed templates. Leveled-text programs standardize difficulty but lack personalization and may not increase motivation. Some studies use AI-generated texts to support reading but typically generate from researcher or teacher prompts rather than students' own ideas, limiting student agency. Existing LLM-education work often reports short-term engagement gains but is limited by small samples, weak experimental control, lack of pretest-sensitization control, minimal fidelity reporting, and insufficient safety or reproducibility workflows. Mixed-method studies exist but rarely use Solomon designs to isolate pretest effects. Open issues include whether personalization from student prompts drives comprehension or motivation gains, how to measure effects robustly with clustered classroom data, and how to operationalize LLM safety, reproducibility, and fidelity at scale.</w:t>
      </w:r>
    </w:p>
    <w:p>
      <w:r>
        <w:t xml:space="preserve"> </w:t>
      </w:r>
    </w:p>
    <w:p>
      <w:pPr>
        <w:pStyle w:val="Heading2"/>
      </w:pPr>
      <w:r>
        <w:t>Abstract</w:t>
      </w:r>
    </w:p>
    <w:p>
      <w:r>
        <w:t>This study tests whether reading texts generated by ChatGPT-4 from fourth graders' own prompts increases reading comprehension, fluency, and reading motivation. We implement a sequential explanatory mixed-methods design combining a Solomon four-group randomized experiment (N=106 across two public primary schools) with a qualitative case study. The core intervention gives students agency to write or choose a short prompt; ChatGPT-4 produces a grade-appropriate text constrained by readability targets, which students then read and discuss in class. Primary inference uses pooled Solomon contrasts on an IRT-based comprehension score at immediate posttest. Quantitative analysis uses multilevel mixed-effects models with class and school random intercepts, and planned multiple-imputation for missing data. The qualitative case study uses observations and interviews to explain mechanisms of motivation and strategy use. The main contribution is a reproducible, preregistered protocol that tests whether student-prompt personalization via an LLM causally improves reading outcomes and documents safety, fidelity, and equity considerations for K–12 deployment.</w:t>
      </w:r>
    </w:p>
    <w:p>
      <w:r>
        <w:t xml:space="preserve"> </w:t>
      </w:r>
    </w:p>
    <w:p>
      <w:pPr>
        <w:pStyle w:val="Heading2"/>
      </w:pPr>
      <w:r>
        <w:t>Methodology</w:t>
      </w:r>
    </w:p>
    <w:p>
      <w:r>
        <w:t>1) Participants and recruitment: recruit approximately 106 fourth-grade students from two public primary schools with parental consent and student assent. 2) Design: Solomon four-group randomized design. Four groups: pretest+treatment, pretest+control, no-pretest+treatment, no-pretest+control. Randomize at the student level, stratified by school and baseline reading ability tertile. 3) Intervention: treatment students write or choose a short prompt (one or two sentences) about a topic. Prompts must omit personal identifiers. Use ChatGPT-4 (version-locked) to generate one short text per prompt constrained to grade-appropriate readability (Lexile ~620–860, sentence length 12–15 words) and targeted genre rotation (narrative, informational, descriptive). Teachers deliver a 20–30 minute reading session where students read the AI text, answer scaffolded comprehension questions, and discuss. Control condition: teacher-selected texts matched to genre and readability and delivered in the same session length and scaffold structure. 4) Safety and LLM ops: run a client-side PII detector on prompts, automated harmful-content filter on outputs, and human review for flagged outputs within 24 hours. Log model metadata: model version, system messages, prompt text, generation parameters (temperature/top_p/max_tokens), timestamp, and content hash. 5) Measures: reading comprehension bank scored via IRT (item response theory produces a latent ability score called theta), reading fluency (words per minute + accuracy), and a short child-appropriate reading motivation scale. Collect fidelity checklists per session. 6) Qualitative case study: purposive sample of 12–16 students for classroom observations, semi-structured interviews, and teacher focus groups to explore engagement, strategy use, and perceptions. 7) Analysis: primary quantitative test uses multilevel mixed-effects models with pooled Solomon contrast coefficients for the treatment effect, random intercepts for class and school, and covariates (baseline score, SES proxy, EAL). Handle missing data with multilevel multiple imputation. For IRT, use 2PL for multiple-choice items and graded response for Likert items. 8) Definitions: IRT is a statistical model that estimates a student’s latent skill from item responses; mixed-effects models account for nested data (students in classes).</w:t>
      </w:r>
    </w:p>
    <w:p>
      <w:r>
        <w:t xml:space="preserve"> </w:t>
      </w:r>
    </w:p>
    <w:p>
      <w:pPr>
        <w:pStyle w:val="Heading2"/>
      </w:pPr>
      <w:r>
        <w:t>Experiments</w:t>
      </w:r>
    </w:p>
    <w:p>
      <w:r>
        <w:t>1) Sample and allocation: N=106 total. Allocate approximately 27,27,26,26 to the four Solomon groups (pretest+treatment, pretest+control, no-pretest+treatment, no-pretest+control). Pilot N=30–40 across both schools for instrument calibration. 2) Baselines and arms: primary comparison = treatment (student-prompt ChatGPT-4 texts) versus control (teacher-selected texts matched on genre and readability). Secondary ablation: within the treatment arm, a randomized subsample (n≈40) receives ChatGPT-4 texts generated from standardized researcher prompts matched on topic and complexity to test personalization effect. 3) Primary outcome and timepoint: IRT theta for reading comprehension measured at immediate posttest (primary timepoint). Pretest where assigned uses same IRT-calibrated form or anchor items. 4) Secondary outcomes: reading fluency (WPM+accuracy) at posttest, reading motivation scale at posttest, and a 6-week follow-up transfer test on teacher-selected texts. 5) Evaluation metrics: estimate pooled treatment effect size (Cohen’s d) and regression coefficient with 95% CI from mixed-effects models; p-values with class-level cluster-robust SEs; IRT model fit statistics; Cronbach’s alpha/omega for scales; fidelity adherence rates. 6) Power and sample notes: with N=106, two-sided 80% power and α=0.05 yields MDE ≈ d=0.55 for pooled two-group contrasts under individual randomization. Report sensitivity MDEs for ICCs 0.01, 0.05, 0.10. Assume up to 10% attrition and run attrition sensitivity. 7) Analysis specifics: model: Post = β0 + β1·Treatment + β2·PretestIndicator + β3·Treatment×PretestIndicator + β4·Baseline + covariates + (1|school) + (1|class) + e. Test pooled contrast with coefficients [+0.5,-0.5,+0.5,-0.5] across G1..G4. Multiple imputation with ≥50 imputations. Multiplicity control: primary family = pooled comprehension effect (α=0.05); secondary family control FDR q=0.05. 8) Ablation: compare personalized vs standardized-prompt outputs using same mixed model restricted to that subsample; report effect on comprehension, motivation, and fidelity.</w:t>
      </w:r>
    </w:p>
    <w:p>
      <w:r>
        <w:t xml:space="preserve"> </w:t>
      </w:r>
    </w:p>
    <w:p>
      <w:pPr>
        <w:pStyle w:val="Heading2"/>
      </w:pPr>
      <w:r>
        <w:t>Risk Factors And Limitations</w:t>
      </w:r>
    </w:p>
    <w:p>
      <w:r>
        <w:t>1) LLM non-determinism and reproducibility: exact LLM outputs may not be exactly reproducible even with logged parameters; this limits exact replication. 2) Hallucinations and factual errors: generated texts can contain incorrect facts; automated detectors may miss some errors and human review at scale is resource-intensive. 3) Privacy and PII leakage: student prompts could accidentally include identifiers; automated detectors may have false negatives. 4) Safety filtering limits: aggressive filters can overblock safe content, affecting fidelity and student experience. 5) Small sample and clustering: N=106 may be underpowered for small effects, and high ICCs inflate detectable effect size. 6) Teacher fidelity and noncompliance: variation in scaffold delivery or session timing introduces noise and possible bias. 7) Measurement bias: comprehension IRT calibration may be imperfect for generated texts and differential item functioning (DIF) could occur across subgroups (EAL/SEN). 8) Equity and accommodations: EAL and SEN students may need adapted texts or administration; heterogeneous accommodations complicate causal attribution. 9) Generalization limits: results from two schools and fourth grade may not generalize to other grades, languages, or contexts. 10) Operational burden: teacher time for PD, fidelity checks, and human review creates practical scalability constraints.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