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gendered_language_switchboard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Quantitative variationist analysis of lexical, grammatical, and pragmatic gender variation in spontaneous Switchboard telephone conversations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After controlling for conversational topic and interlocutor gender-pair, speaker gender predicts measurable differences in rates of targeted pragmatic behaviors (e.g., hedging, backchannels, self-repair) per turn.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Previous research on gendered language has combined sociolinguistic variationist methods with corpus analysis and computational annotation. Existing approaches include manual annotation of pragmatic functions, automated POS and dialogue-act tagging, and mixed-effects modeling of linguistic variables. Limitations remain: many studies use written or lab-recorded speech rather than spontaneous telephone data; automated taggers are rarely validated on telephone corpora leading to degraded labeling accuracy; pragmatic annotations are often single-label and do not capture overlapping functions; prosodic measures are underused or measured without telephone-specific calibration; topic confounds and interlocutor structure are not always controlled tightly; legacy gender metadata treat gender as strictly binary and lack provenance or sensitivity analyses. These gaps produce risks of biased estimates, low reproducibility, and limited insight into interactional mechanisms.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how gender correlates with lexical, grammatical, and pragmatic variation in spontaneous American English telephone speech. We use the Switchboard Dialogue Act Corpus and a variationist, corpus-based quantitative pipeline combining multi-label pragmatic annotation, validated automated tagging, forced alignment, and calibrated prosodic extraction. A pilot sample (≈48 conversations) will be annotated to measure inter-annotator reliability and to fine-tune taggers for telephone speech; results will inform power simulations for scaling. Inferential models are cross-classified mixed-effects regressions that control for topic, speaker, and conversation structure and that report effect sizes with uncertainty. Main contributions are (1) a reproducible annotated Switchboard derivative with multi-label pragmatic coding and prosodic linkage, (2) validated telephone-adapted taggers and alignment settings, and (3) preregistered multilevel analyses that quantify gendered differences while reporting sensitivity to overlap, audio quality, and gender-label uncertainty. Expected outcomes include robust, transparent evidence on which linguistic behaviors vary by gender in spontaneous telephone interaction.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selection and sampling: extract Switchboard conversations and metadata; build a pilot sample of ~48 conversations balanced by gender-pair (MM, FF, MF) and 4 topics. 2) Annotation: create a multi-label pragmatic codebook (hedging, backchannel, politeness, repair, topic management, stance markers). "Multi-label" means a turn may carry several tags simultaneously. Train 6–8 annotators, run calibration rounds, and double-annotate turns to compute Krippendorff's alpha and Cohen's kappa. 3) Automated tagging and domain adaptation: fine-tune transformer-based taggers (BERT/RoBERTa + CRF) on manual labels; report per-label precision, recall, F1. 4) Forced alignment and prosody: use the Montreal Forced Aligner for time alignments; extract F0, intensity, speaking rate, CPP with telephone-calibrated settings (pitch floor/ceiling, smoothing) and store parameters in the repo. 5) Overlap handling: detect overlapping speech and add overlap frequency as an analyzable variable; derive overlap-corrected prosodic measures rather than only excluding overlaps. 6) Gender metadata: record provenance and confidence; include categories M/F/Non-binary/Unknown; implement multiple imputation and confidence-weighted analyses for uncertain labels. 7) Modeling: fit cross-classified mixed-effects models (speaker and conversation random effects) for counts and binary outcomes; use Bayesian and frequentist implementations with weakly informative priors; preregister primary outcomes and sensitivity contrasts. 8) Reproducibility: containerize code, include runnable model snippets, and archive annotation manuals and toolchain configs.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Switchboard Dialogue Act Corpus. Pilot: 48 conversations (~2,500–4,000 turns). Full-scale target: ~200 speakers (~10,000 turns). Baselines: (A) null model (no gender predictors), (B) topic-only model, (C) single-label pragmatic coding models, (D) off-the-shelf taggers without telephone adaptation. Evaluation metrics: Krippendorff's alpha and Cohen's kappa for annotation reliability; precision, recall, F1 per label for taggers; ICC for clustering; model metrics: effect size estimates with 95% intervals, Bayes R2, LOO-CV for model comparison, and power (80–90%) from simulations. Experimental setup: split annotated data into train/validation/test (70/15/15) for tagger development; hold out a fixed test set for drift monitoring. Run active-learning in batches of 10 uncertain items and retrain until marginal F1 gain &lt;0.5%. Modeling experiments: (1) primary analysis using multi-label annotations, SNR threshold = 30 dB; (2) sensitivity: SNR = 25 dB and 20 dB; (3) overlap ablation: include overlap as predictor vs exclude overlapping turns; (4) gender handling ablation: exclude unknowns vs multiple imputation vs confidence-weighted analyses; (5) tagger ablation: telephone-adapted vs off-the-shelf. Power and prior predictive checks: simulate clustered data using pilot ICCs to map detectable effect sizes to speaker and turn counts per gender-pair stratum. Report per-label performance, annotation time metrics, and model diagnostics.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Audio quality and SNR: telephone recordings often have low SNR; strict SNR cutoffs reduce sample size and may bias representativeness. 2) Overlap complexity: overlapping speech complicates prosodic extraction and may introduce measurement error; modeling overlap is technically challenging. 3) Gender metadata: legacy binary labels and missing data limit validity for non-binary identities and risk misclassification bias. 4) Annotation difficulty: multi-label pragmatic coding is time-consuming and may produce low agreement on nuanced categories, increasing cost. 5) Rare labels: low-frequency pragmatic behaviors will produce sparse data and unstable estimates. 6) Tagger generalization: pretrained models may underperform on telephone speech even after adaptation. 7) Compute and scalability: forced alignment, prosodic extraction, and transformer fine-tuning require substantial CPU/GPU resources. 8) Licensing and reproducibility: Switchboard licensing restricts public release of raw audio, limiting full reproducibility of audio-dependent analyses. 9) Generalization: findings from Switchboard (US telephone speech, older dataset) may not generalize to other modalities, dialects, or time periods.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