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fuzzy_pa_west_taiwan</w:t>
      </w:r>
    </w:p>
    <w:p>
      <w:r>
        <w:t xml:space="preserve"> </w:t>
      </w:r>
    </w:p>
    <w:p>
      <w:pPr>
        <w:pStyle w:val="Heading2"/>
      </w:pPr>
      <w:r>
        <w:t>Title</w:t>
      </w:r>
    </w:p>
    <w:p>
      <w:r>
        <w:t>Fuzzy‑distinction based precautionary area planning for western Taiwan offshore wind farms using AIS, MGIS and hydrodynamic inputs</w:t>
      </w:r>
    </w:p>
    <w:p>
      <w:r>
        <w:t xml:space="preserve"> </w:t>
      </w:r>
    </w:p>
    <w:p>
      <w:pPr>
        <w:pStyle w:val="Heading2"/>
      </w:pPr>
      <w:r>
        <w:t>Short Hypothesis</w:t>
      </w:r>
    </w:p>
    <w:p>
      <w:r>
        <w:t>Integrating AIS‑derived navigational risk, ecological sensitivity, and hydrodynamic/wind factors through an interval/type‑2 fuzzy‑distinction model will reduce the expected number of collisions per year (ENoC) by at least 20% compared to a navigation‑only precautionary area baseline.</w:t>
      </w:r>
    </w:p>
    <w:p>
      <w:r>
        <w:t xml:space="preserve"> </w:t>
      </w:r>
    </w:p>
    <w:p>
      <w:pPr>
        <w:pStyle w:val="Heading2"/>
      </w:pPr>
      <w:r>
        <w:t>Related Work</w:t>
      </w:r>
    </w:p>
    <w:p>
      <w:r>
        <w:t>Existing approaches compute precautionary areas using single-domain methods (navigation buffers, ecological overlays, or deterministic hazard maps) or apply basic fuzzy logic to one domain at a time. AIS (Automatic Identification System) data are commonly used to estimate vessel density and closest point of approach (CPA), but prior work often converts CPA to risk using simple thresholds without hydrodynamic correction or formal rare‑event treatment. Ecological sensitivity mapping typically uses presence/absence or density rasters but rarely propagates anchor uncertainty into decisions. Interval and type‑2 fuzzy sets have been proposed to handle parameter uncertainty, but most applied systems remain type‑1 and lack end‑to‑end provenance or versioning in a marine GIS. Rare‑event bias in collision calibration and the need for validated emulators for fast updates are unresolved. Stakeholder elicitation has been used, but systematic consensus rules and audit trails are infrequent. Overall limits include weak uncertainty propagation, insufficient hydrodynamic coupling, sparse validation against incidents, and lack of operational acceptance pathways for charting authorities.</w:t>
      </w:r>
    </w:p>
    <w:p>
      <w:r>
        <w:t xml:space="preserve"> </w:t>
      </w:r>
    </w:p>
    <w:p>
      <w:pPr>
        <w:pStyle w:val="Heading2"/>
      </w:pPr>
      <w:r>
        <w:t>Abstract</w:t>
      </w:r>
    </w:p>
    <w:p>
      <w:r>
        <w:t>We address the problem of designing precautionary areas (PAs) for offshore wind farms along western Taiwan by combining navigational safety, ecological sensitivity, and wind/hydrodynamic factors while explicitly managing data uncertainty. Our approach fuses cleaned AIS vessel tracks, hydrodynamic and wind rasters, and ecological layers inside a marine GIS (MGIS), converts CPA/TCPA into collision probabilities with hydrodynamic adjustments, and aggregates criteria using interval/type‑2 fuzzy distinction to represent epistemic uncertainty. Expert weights are elicited via a structured Delphi protocol and stored with provenance. We run Monte Carlo ensembles to produce continuous suitability rasters, agreement maps, and regulator‑ready polygons (core/boundary/provisional). The main contribution is a reproducible pipeline that (1) propagates uncertainty from raw data and expert disagreement through a fuzzy decision model, (2) couples hydrodynamics to collision risk, and (3) provides validation metrics and emulator options for operational update cadence. Expected outcomes include demonstrable ENoC reduction, quantified uncertainty for policy decisions, and a versioned MGIS deliverable for regulatory review.</w:t>
      </w:r>
    </w:p>
    <w:p>
      <w:r>
        <w:t xml:space="preserve"> </w:t>
      </w:r>
    </w:p>
    <w:p>
      <w:pPr>
        <w:pStyle w:val="Heading2"/>
      </w:pPr>
      <w:r>
        <w:t>Methodology</w:t>
      </w:r>
    </w:p>
    <w:p>
      <w:r>
        <w:t>1) Data ingestion and MGIS grid: define a tiled analysis grid (250 m cells for 0–10 km, 500 m beyond) and ingest AIS, bathymetry, hydrodynamic/wind rasters, and ecological layers into PostGIS. AIS (Automatic Identification System) is ship telemetry giving position, speed, and heading. 2) AIS ETL and encounter stats: clean AIS (deduplicate, land mask, plausibility filters), smooth tracks (Kalman filter), compute vessel density, CPA (closest point of approach) and TCPA per encounter, and flag satellite/S‑AIS or interpolated segments as higher uncertainty. 3) Hydrodynamic/wind adjustment: map current vectors, squat, and set/drift to expand ship‑domain radii; produce per‑cell multipliers for CPA→collision conversion. 4) Collision probability calibration: fit a Bayesian logistic model mapping CPA, TCPA, speed, vessel class, and hydrodynamic multipliers to collision probability. Use synthetic replay of perturbed tracks to enrich rare near‑misses. 5) Fuzzy distinction aggregation: define membership functions (MFs) per criterion. Type‑1 MF = crisp shape (tri/trapezoid). Interval/type‑2 MF = MF with an interval of plausible parameters to capture higher uncertainty; explain: interval/type‑2 means MF parameters are ranges, not single numbers. Implement z‑slice or alpha‑plane decomposition to propagate these interval MFs. 6) Expert elicitation: run two‑round Delphi with numeric anchors and evidence cards; record medians, IQRs, and store MF versions and provenance in JSONB fields in PostGIS. 7) Ensemble and Monte Carlo: sample MF parameter ensembles and stochastic AIS/hydro realizations to produce N ensemble members (default 1000 full, 200 reduced). 8) Defuzzification and decision rules: compute centroid defuzzified suitability per cell and ensemble agreement (% members above threshold). Define Core PA = centroid ≥ Tcore AND agreement ≥ 90%; Boundary PA = centroid ≥ Tcore AND agreement 60–90%; Provisional if high elicitation IQR or low agreement. 9) Outputs and provenance: export GeoTIFF rasters, GeoJSON/S‑100 polygons, and a versioned MF table with SHA256 checksums for audit. 10) Emulation for fast updates: train a surrogate model (e.g., Gaussian process or small neural net) mapping precomputed scenario inputs to suitability to enable 10–30 minute updates; validate emulator on held‑out scenarios.</w:t>
      </w:r>
    </w:p>
    <w:p>
      <w:r>
        <w:t xml:space="preserve"> </w:t>
      </w:r>
    </w:p>
    <w:p>
      <w:pPr>
        <w:pStyle w:val="Heading2"/>
      </w:pPr>
      <w:r>
        <w:t>Experiments</w:t>
      </w:r>
    </w:p>
    <w:p>
      <w:r>
        <w:t>Datasets: (A) AIS archives: 2 weeks pilot + 3 years historical AIS for western Taiwan; (B) Incident/near‑miss logs: Taiwan Coast Guard/VTS, IMO GISIS where available; (C) Hydrodynamics/wind: ERA5 reanalysis, CMEMS/HYCOM, local buoy/ADCP records; (D) Bathymetry: national surveys + GEBCO fallback; (E) Ecology: PAM detections, survey rasters, habitat maps. Baselines: (1) navigation‑only buffer PA (fixed-distance buffers around high-density tracks); (2) type‑1 fuzzy aggregation without hydrodynamic CPA adjustment; (3) full model but with equal weights instead of elicited weights. Experiments: 1) Collision calibration: fit Bayesian logistic on train years, validate on held‑out recent year; compute ROC/AUC, Brier score, calibration plots, precision/recall at probability thresholds. 2) PA effectiveness: produce PAs for pilot region using each baseline and the proposed model; compute ENoC via simulation of vessel tracks and collision probabilities; report percent ENoC reduction. 3) Uncertainty and polygon stability: run full 1000‑member ensemble; compute per‑cell agreement, polygon flip rate (fraction of ensemble members where cell changes class), and false‑alarm rate using independent near‑miss records. 4) Ablation studies: (a) remove hydrodynamic coupling and compare ENoC and AUC; (b) replace interval/type‑2 MFs with type‑1 and compare agreement and polygon stability; (c) compare elicited weights vs equal weights vs three stakeholder scenarios. 5) Emulator validation: train emulator on precomputed scenarios, reserve 20% scenarios for test; report RMSE on suitability, max absolute error, and time per update; require emulator test RMSE &lt; observed inter‑ensemble standard deviation and update latency &lt; 30 minutes on target instance (8–32 vCPU). Evaluation metrics: ENoC, ROC/AUC, Brier score, calibration (reliability) plots, precision/recall, core‑PA hit‑rate, false‑alarm rate, polygon flip rate, ensemble agreement distribution, emulator RMSE and runtime, compute and storage costs. Setup: temporal split (train on earliest 75% of time, validate on next 15%, test on latest 10%), stratify by season, and augment rare events via synthetic replay for calibration. Report uncertainty intervals for all metrics.</w:t>
      </w:r>
    </w:p>
    <w:p>
      <w:r>
        <w:t xml:space="preserve"> </w:t>
      </w:r>
    </w:p>
    <w:p>
      <w:pPr>
        <w:pStyle w:val="Heading2"/>
      </w:pPr>
      <w:r>
        <w:t>Risk Factors And Limitations</w:t>
      </w:r>
    </w:p>
    <w:p>
      <w:r>
        <w:t>1) Data availability and licensing: restricted access to VMS, commercial S‑AIS or national bathymetry may prevent full coverage or force use of lower‑quality proxies. 2) Rare‑event estimation: collision records are sparse; calibration may remain sensitive to synthetic replay choices and produce unstable low probability estimates. 3) Model misspecification: Bayesian logistic mapping from CPA/TCPA may not capture all behavioral dynamics, causing miscalibrated probabilities. 4) Uncertainty propagation complexity: interval/type‑2 fuzzy propagation increases compute cost and complexity; numerical approximations (z‑slice) may introduce errors. 5) Emulator risk: surrogate models may fail to generalize to unseen extreme scenarios, producing incorrect fast updates. 6) Compute and IO limits: full 1000‑member ensembles with hydrodynamic coupling require large memory and time (hours to days) and may be infeasible without cloud budget. 7) Temporal dynamics: seasonal or ephemeral patterns may demand high‑frequency updates; latency constraints may prevent real‑time responsiveness. 8) Validation bias: incident logs may be biased toward reported areas and vessel types, skewing calibration and evaluation. 9) Stakeholder disagreement: high IQRs in elicitation can produce provisional outputs that hinder regulatory acceptance. 10) Generalization: methods tuned for western Taiwan may not transfer without retuning to other regions with different traffic, bathymetry, or ecology.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