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dance_rehab_bibliometric</w:t>
      </w:r>
    </w:p>
    <w:p>
      <w:r>
        <w:t xml:space="preserve"> </w:t>
      </w:r>
    </w:p>
    <w:p>
      <w:pPr>
        <w:pStyle w:val="Heading2"/>
      </w:pPr>
      <w:r>
        <w:t>Title</w:t>
      </w:r>
    </w:p>
    <w:p>
      <w:r>
        <w:t>Preregistered bibliometric mapping of dance therapy in rehabilitation (2000–2024) using network and topic-analytic methods</w:t>
      </w:r>
    </w:p>
    <w:p>
      <w:r>
        <w:t xml:space="preserve"> </w:t>
      </w:r>
    </w:p>
    <w:p>
      <w:pPr>
        <w:pStyle w:val="Heading2"/>
      </w:pPr>
      <w:r>
        <w:t>Short Hypothesis</w:t>
      </w:r>
    </w:p>
    <w:p>
      <w:r>
        <w:t>Between 2000 and 2024, increases in clinical outcome–focused dance therapy publications caused a measurable rise in cross-disciplinary co-authorship centrality of rehabilitation institutions, observable as a positive temporal association between the annual proportion of clinical studies and institutional betweenness centrality.</w:t>
      </w:r>
    </w:p>
    <w:p>
      <w:r>
        <w:t xml:space="preserve"> </w:t>
      </w:r>
    </w:p>
    <w:p>
      <w:pPr>
        <w:pStyle w:val="Heading2"/>
      </w:pPr>
      <w:r>
        <w:t>Related Work</w:t>
      </w:r>
    </w:p>
    <w:p>
      <w:r>
        <w:t>Existing bibliometric studies of dance therapy and rehabilitation report growing publication counts and identify themes such as exercise interventions and social-science perspectives. Prior works primarily used single-tool, non-preregistered analyses (for example keyword co-occurrence and basic co-authorship counts) and often lacked systematic author disambiguation, affiliation normalization, or formal clinical metadata extraction. Topic analyses in the field commonly rely on basic LDA or keyword frequency without temporal embeddings or clinician validation. Limitations include poor reproducibility (missing exact queries and export provenance), limited sensitivity analyses across databases, weak handling of multi-report trials and retractions, and absence of preregistered parameter grids and inter-rater reliability for manual coding. These gaps reduce confidence in identified trends, cluster labels, and institutional rankings.</w:t>
      </w:r>
    </w:p>
    <w:p>
      <w:r>
        <w:t xml:space="preserve"> </w:t>
      </w:r>
    </w:p>
    <w:p>
      <w:pPr>
        <w:pStyle w:val="Heading2"/>
      </w:pPr>
      <w:r>
        <w:t>Abstract</w:t>
      </w:r>
    </w:p>
    <w:p>
      <w:r>
        <w:t>We present a preregistered, reproducible bibliometric pipeline to map two decades (2000–2024) of research on dance therapy in rehabilitation using Web of Science metadata. The approach combines systematic export provenance, PRISMA-style screening, clinical metadata extraction, robust author disambiguation and affiliation normalization, network analysis (co-authorship, co-citation, bibliographic coupling) and temporal topic modeling (BERTopic with temporal embeddings and Dynamic Topic Models). Main contributions are: (1) a locked, shareable query and export artifact; (2) clinician-coded clinical-domain metadata attached to records; (3) validated topic clusters and network maps that track thematic evolution and collaboration; and (4) sensitivity analyses across counting methods and alternate databases (Scopus/Dimensions). Expected outcomes are reproducible maps of the field's intellectual structure, quantified collaboration patterns, validated thematic timelines, and openly released data and code to support future synthesis and trial design.</w:t>
      </w:r>
    </w:p>
    <w:p>
      <w:r>
        <w:t xml:space="preserve"> </w:t>
      </w:r>
    </w:p>
    <w:p>
      <w:pPr>
        <w:pStyle w:val="Heading2"/>
      </w:pPr>
      <w:r>
        <w:t>Methodology</w:t>
      </w:r>
    </w:p>
    <w:p>
      <w:r>
        <w:t>1) Preregister exact fielded queries and export provenance (date/time, WoS Core version) on OSF. 2) Export full metadata (plain text/RIS/BibTeX). 3) Deduplicate by DOI then fuzzy title+author+year. 4) PRISMA screening: title/abstract then full text; code inclusion/exclusion with a short codebook. 5) Pilot: stratified random sample of ~300 records (≈50 per 5-year bin) to set thresholds. 6) Clinical metadata extraction: fields include population, diagnosis/domain, design, sample size, dance modality, dose, comparator, outcomes, instruments, country. 7) Author disambiguation: ORCID/ResearcherID/email match; algorithmic clustering using name string similarity + co-authorship + affiliation blocks; manual review for top 50 productive authors and algorithm-flagged clusters. (Author disambiguation explained: ORCID is a unique author ID; clustering groups similar author strings and then verifies by coauthors/affiliations.) 8) Affiliation normalization to ROR/GRID and ISO country codes. 9) Network analysis: construct fractional and full-count co-authorship, co-citation, and bibliographic coupling networks using bibliometrix and VOSviewer; compute centrality (degree, betweenness) and community detection (Louvain/Infomap). 10) Topic analysis: run BERTopic with temporal embeddings (embedding model tested in pilot, e.g., sentence-transformers) and a secondary Dynamic Topic Model (DTM) for comparison; evaluate with C_v coherence and topic stability. (BERTopic explained: a topic method that groups semantically similar documents using embeddings; DTM models topics changing over time.) 11) Burst detection: CiteSpace Kleinberg bursts and CUSUM validation. 12) Time-series: model annual counts with Poisson or negative binomial and joinpoint regression. 13) Sensitivity analyses: vary min-occurrence thresholds, author min-docs, full vs fractional counting, and compare to Scopus/Dimensions overlap sample. 14) Release cleaned metadata, disambiguation tables, code, and visualizations under CC BY 4.0 with versioned containers.</w:t>
      </w:r>
    </w:p>
    <w:p>
      <w:r>
        <w:t xml:space="preserve"> </w:t>
      </w:r>
    </w:p>
    <w:p>
      <w:pPr>
        <w:pStyle w:val="Heading2"/>
      </w:pPr>
      <w:r>
        <w:t>Experiments</w:t>
      </w:r>
    </w:p>
    <w:p>
      <w:r>
        <w:t>Datasets: primary = Web of Science Core Collection export (2000–2024) restricted to Articles and Reviews; pilot stratified sample n≈300; sensitivity datasets: random overlap n=200 from Scopus and Dimensions. Baselines: A) raw WoS metadata without disambiguation or affiliation normalization; B) full-count networks (vs fractional counting); C) naive LDA topic model (vs BERTopic and DTM). Evaluation metrics: publication growth: annual counts, APC (annual percent change) with 95% CI; model fit: AIC/BIC for Poisson vs negative binomial; trend detection: joinpoint regression and Mann–Kendall test. Network metrics: degree centrality, betweenness centrality, modularity, community silhouette (mean silhouette); rank concordance: Spearman rho between ranking variants; cluster stability: adjusted Rand index (ARI) between clustering runs. Topic metrics: C_v coherence, UMass coherence, topic stability index (pairwise Jaccard of top terms across runs). Coding reliability: Cohen's kappa for diagnosis, design, modality (target κ≥0.70). Burst detection: Kleinberg burst scores and CUSUM significance with 1,000 permutations; multiple-testing correction via FDR (Benjamini-Hochberg). Experimental setup: 1) Run pilot to pick thresholds (min term occurrence ∈ {3,5,10}; author min-docs ∈ {3,5,10}; BERTopic n_topics range tested 10–50). 2) Lock parameters and run full WoS pipeline. 3) Ablation studies: (a) remove author disambiguation and compare institutional rankings (Spearman rho, ARI); (b) compare BERTopic vs DTM vs LDA on coherence and stability; (c) full vs fractional counting impact on top-20 author/institution lists. 4) Sensitivity: run analyses on Scopus/Dimensions overlap and report coverage differences. 5) Report all results with 95% CI and p-values where applicable.</w:t>
      </w:r>
    </w:p>
    <w:p>
      <w:r>
        <w:t xml:space="preserve"> </w:t>
      </w:r>
    </w:p>
    <w:p>
      <w:pPr>
        <w:pStyle w:val="Heading2"/>
      </w:pPr>
      <w:r>
        <w:t>Risk Factors And Limitations</w:t>
      </w:r>
    </w:p>
    <w:p>
      <w:r>
        <w:t>1) Query sensitivity: Boolean grouping or missing synonyms may yield false positives/negatives, reducing reproducibility. 2) Database coverage bias: WoS subject and language coverage may underrepresent non-English or regional literature. 3) Author disambiguation errors: incorrect merges/splits can distort author productivity and network centrality. 4) Affiliation changes over time: institutional name changes or journal reclassification can bias subject-category normalization. 5) Topic modeling instability: small niche corpora can produce unstable topics sensitive to parameters and embeddings. 6) Manual coding limits: time and coder availability can constrain double-coding proportions and RoB assessments. 7) Translation quality risk: machine translations may misrepresent clinical details in non-English records. 8) Statistical model misspecification: Poisson vs negative binomial choice affects trend inference when overdispersion exists. 9) Computational limits: embedding-based topic models and large network computations may require substantial memory/CPU. 10) Generalization: bibliometric maps reflect published metadata and cannot prove clinical efficacy or causal clinical impact.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