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islam_aesthetics_comparative</w:t>
      </w:r>
    </w:p>
    <w:p>
      <w:r>
        <w:t xml:space="preserve"> </w:t>
      </w:r>
    </w:p>
    <w:p>
      <w:pPr>
        <w:pStyle w:val="Heading2"/>
      </w:pPr>
      <w:r>
        <w:t>Title</w:t>
      </w:r>
    </w:p>
    <w:p>
      <w:r>
        <w:t>A multimodal comparative methodology to map how aesthetic codes structure Islamic ritual practices in Morocco and Indonesia</w:t>
      </w:r>
    </w:p>
    <w:p>
      <w:r>
        <w:t xml:space="preserve"> </w:t>
      </w:r>
    </w:p>
    <w:p>
      <w:pPr>
        <w:pStyle w:val="Heading2"/>
      </w:pPr>
      <w:r>
        <w:t>Short Hypothesis</w:t>
      </w:r>
    </w:p>
    <w:p>
      <w:r>
        <w:t>Measured differences in multimodal aesthetic indicators (sound, image/material, text, gesture) cause detectable differences in ritual classification and practitioner interpretation between matched Moroccan zawiya and Indonesian pesantren sites, after controlling for demographic covariates.</w:t>
      </w:r>
    </w:p>
    <w:p>
      <w:r>
        <w:t xml:space="preserve"> </w:t>
      </w:r>
    </w:p>
    <w:p>
      <w:pPr>
        <w:pStyle w:val="Heading2"/>
      </w:pPr>
      <w:r>
        <w:t>Related Work</w:t>
      </w:r>
    </w:p>
    <w:p>
      <w:r>
        <w:t>Existing work on Islamic aesthetics and comparative religion uses ethnography, art history, and literary analysis to document local practices and poetic registers but rarely integrates these modes at scale. Computational approaches in cultural analytics apply topic models or embeddings to texts but often ignore audio, image, and gesture modalities and struggle with cross-lingual, script-diverse corpora. Multimodal cultural studies that do exist typically lack rigorous cross-site pairing rules, transparent transliteration standards, and preregistered validation thresholds. Prior quantitative studies rarely combine bilingual adjudication, high intercoder reliability targets, and community-governed ethics, which limits reproducibility and raises risks of cultural flattening and pretrained-model bias. In sum, limitations include unimodal focus, weak cross-lingual pipelines, insufficient coder calibration, opaque provenance, and inadequate attention to ethical co-ownership.</w:t>
      </w:r>
    </w:p>
    <w:p>
      <w:r>
        <w:t xml:space="preserve"> </w:t>
      </w:r>
    </w:p>
    <w:p>
      <w:pPr>
        <w:pStyle w:val="Heading2"/>
      </w:pPr>
      <w:r>
        <w:t>Abstract</w:t>
      </w:r>
    </w:p>
    <w:p>
      <w:r>
        <w:t>This study addresses how aesthetic codes—patterns in sound, material objects and images, text, and bodily gesture—shape and differentiate Islamic ritual practices across Morocco and Indonesia. We propose a multimodal, comparative method that pairs matched sites using an evidence-based rubric, collects synchronized audio, image, text, and video data, and converts those data into measurable indicators (for example, spectral centroid for sound, motif geometry complexity for images, emic-term incidence for text, and gesture duration for movement). We combine cross-lingual preprocessing, embedding-based topic and motif models, and multilevel statistical models to test whether aesthetic indicators predict ritual classification and practitioner interpretation. Main contributions are: (1) a reproducible multimodal pipeline for comparative Islamic aesthetics; (2) validated codebooks and bilingual adjudication protocols; and (3) preregistered analytic recipes linking measurable aesthetic features to social outcomes. Expected outcomes include validated multimodal indicators, transparent pairing rules, and evidence on how aesthetic codes produce cross-regional variation in lived Islamic practice.</w:t>
      </w:r>
    </w:p>
    <w:p>
      <w:r>
        <w:t xml:space="preserve"> </w:t>
      </w:r>
    </w:p>
    <w:p>
      <w:pPr>
        <w:pStyle w:val="Heading2"/>
      </w:pPr>
      <w:r>
        <w:t>Methodology</w:t>
      </w:r>
    </w:p>
    <w:p>
      <w:r>
        <w:t>1) Site pairing and sampling: score candidate sites on historical entanglement, institutional homology, colonial trajectory, aesthetic register overlap, and demographics; select matched pairs with composite score above threshold. 2) Data collection: record high-quality audio, take IIIF-compliant images and 3D scans of objects, transcribe and TEI-encode texts, and film rituals for gesture annotation. 3) Preprocessing: apply standardized transliteration (ALA-LC/ISO for Arabic, Jawi→Rumi mapping, Berber Latin/Tifinagh where needed), produce bilingual pivot translations (machine + human post-edit), and store provenance metadata. 4) Feature extraction: audio features (tempo in beats per minute, spectral centroid which measures brightness, RMS amplitude), image features (colorimetric centroid = dominant color, motif complexity = node/symmetry counts, pattern repetition index), text features (lexical density, emic-term frequency, topic weights), gesture features (duration, repetition, synchrony lag with audio). Explain: spectral centroid is a simple number that shows whether sound is bright or muffled; lexical density is number of content words divided by total words. 5) Modeling: run multimodal embedding alignment using multilingual transformers (XLM-R) and topic models (BERTopic and LDA) to find thematic and motif clusters; then test hypotheses with multilevel models where individuals or events are nested in sites. 6) Validation: bilingual adjudication of a held sample, intercoder reliability checks (Krippendorff's alpha), embedding stability tests across random seeds, and topic coherence measures (c_v, UMass). 7) Ethics and repository: use tiered consent, MOUs for co-ownership, TEI/ELAN/IIIF storage, and governance by a community board.</w:t>
      </w:r>
    </w:p>
    <w:p>
      <w:r>
        <w:t xml:space="preserve"> </w:t>
      </w:r>
    </w:p>
    <w:p>
      <w:pPr>
        <w:pStyle w:val="Heading2"/>
      </w:pPr>
      <w:r>
        <w:t>Experiments</w:t>
      </w:r>
    </w:p>
    <w:p>
      <w:r>
        <w:t>Datasets: Pilot: multimodal corpus with n=100 respondents per country, 15-20 events and synchronized audio/video/image/text per site (4 sites per country). Full: n=400 respondents per country, 60-80 events, 8 sites per country; archival manuscript and museum object catalogs from named archives. Baselines: (A) unimodal analyses (text-only topic model; audio-only clustering; image-only motif indexing), (B) cross-lingual pipeline without bilingual post-edit (machine pivot only), (C) classical LDA vs embedding-based BERTopic, (D) models without site-pair homology score. Evaluation metrics: Krippendorff's alpha for coding reliability, intraclass correlation (ICC) for clustered variance, topic coherence (c_v and UMass), embedding stability (rank-correlation across seeds), classification metrics (accuracy, precision, recall, F1) for ritual-class prediction, model fit (AIC/BIC) and effect sizes (Cohen's d). Experimental setup: preprocess and transliterate corpora into unified format; split events/respondents by site into 70% train, 15% validation, 15% test, preserving site strata. Primary model: multilevel logistic regression for binary ritual-class outcomes or multilevel linear model for continuous interpretation scores: outcome_ij ~ beta0 + beta1*aesthetic_indicator1_ij + ... + gamma1*covariate_ij + (1 | site_j). Fit frequentist and Bayesian versions; for Bayesian use weakly informative priors Normal(0,1) on standardized coefficients. Ablation study: compare full multimodal model vs models dropping (i) visual features, (ii) audio features, (iii) cross-lingual fine-tuning, and (iv) homology score as covariate. Report metrics on hold-out test set and diagnostic stability across three random seeds.</w:t>
      </w:r>
    </w:p>
    <w:p>
      <w:r>
        <w:t xml:space="preserve"> </w:t>
      </w:r>
    </w:p>
    <w:p>
      <w:pPr>
        <w:pStyle w:val="Heading2"/>
      </w:pPr>
      <w:r>
        <w:t>Risk Factors And Limitations</w:t>
      </w:r>
    </w:p>
    <w:p>
      <w:r>
        <w:t>1) Data bias: uneven site coverage, underrepresentation of social axes (class, sect, gender, age) may bias inferences. 2) Translation and transliteration loss: emic terms may not survive machine translation or mapping across scripts, reducing semantic fidelity. 3) Pretrained-model bias: transformer embeddings trained on general corpora may misrepresent vernacular or sacred vocabulary. 4) Multimodal alignment failures: temporal misalignment between audio, video, and annotations can corrupt gesture-sound synchrony measures. 5) Small sample effects: pilot sample sizes may yield unstable ICC estimates and low power for small effects. 6) Technical/compute limits: multimodal embedding and 3D photogrammetry require substantial storage and GPU time, limiting scalability. 7) Ethical and legal constraints: restricted access to sacred materials or withdrawal requests may create missing-data patterns and reduce analytic scope. 8) Generalization limits: findings from paired Moroccan and Indonesian sites may not generalize to other Islamic regions or to urban/rural extremes not sampled.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