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thermalscapes_informal_shade_cuiaba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Ethnographic and participatory-biosensing investigation of how informal shading practices affect thermal comfort and sensory atmosphere in a hot Brazilian city centre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Informal shading (cause) reduces ambient radiant exposure and leads to measurable improvements in embodied thermal comfort—lower wrist skin temperature, lower heart rate, higher heart-rate variability, and improved subjective thermal comfort (effect)—within 30 minutes of shade entry compared with unshaded exposure.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combines urban microclimate measurement, wearable physiology, and ethnography to study outdoor thermal comfort in hot cities. Microclimate studies typically use fixed meteorological stations or micro-sensors and modeling (ENVI-met, CFD) to estimate mean radiant temperature (MRT) and air temperature; limitations include poor coverage of informal shading features (awnings, umbrellas, tarps) and limited pedestrian-scale MRT accuracy. Wearable physiology research uses wrist PPG and EDA devices to infer heat strain but is constrained by motion and sweat artifacts and variable performance across skin tones; many studies use chest ECG or lab validation subsamples to offset bias. Ethnographic research documents vendor practices and sensory atmospheres but rarely integrates synchronized biosensor time-series and spatial MRT estimates. Existing multimodal studies often lack synchronized timestamps, pre-registered statistical event analyses of shade transitions, and public privacy-preserving spatial protocols. Unresolved issues: robust field validation of wrist wearables under sweat/motion; operational MRT workflow for narrow streets; preregistered mixed-model specifications for repeated vendor sampling; and harmonized ethnographic-biosensor integration.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how informal shading practices in a hot Brazilian city centre (Cuiabá) shape thermalscapes and consumer thermal comfort by combining sensory ethnography with participatory biosensing and pedestrian-scale microclimate measurement. We will collect synchronized wearable physiology (wrist PPG for heart rate and EDA, wrist skin temperature), secondary skin-temperature references, fixed and portable microclimate sensors (air T, globe temperature for MRT, wind, radiation), and rich ethnographic notes and interviews. The main contribution is a reproducible, preregistered pipeline that links shade entry/exit events to physiological and subjective outcomes using mixed-effects and event-based difference-in-differences models, while accounting for activity, clothing, and spatial dependence. Expected outcomes include quantified short-term physiological effects of informal shade, taxonomy of shading typologies tied to thermal impact, and integrated displays that combine biosensor time-series with sensory field notes. Results will inform locally grounded shading interventions and produce open, privacy-aware data derivatives and SOPs for urban thermalscape studies.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Field design: Pilot (8 vendors repeated, 24 shoppers single visits) followed by full study (40 vendors repeated, 160 shoppers single visits). Sample across peak windows (08:00–10:00, 10:00–14:00, 15:30–18:30) and wet/dry seasons. 2) Devices and placement: primary wrist device (PPG for HR, EDA, wrist skin temp, accelerometer) on non-dominant wrist; secondary iButton on inner forearm/chest under clothing as skin-temp reference; chest HR strap (ECG-quality) for fallback subsample. 3) Calibration &amp; validation: lab validation with ~24 participants (3-lead ECG, lab EDA, thermistor) under rest, walking, and sweat conditions to compute bias, limits of agreement and ICC stratified by skin tone and motion. 4) Data acquisition: NTP/GPS clock sync daily; sample biosignals at device-native rate, resample to 1 s for biosignals and 1 min for microclimate; log shade-state and activity annotations in 30 s epochs. 5) Preprocessing: PPG bandpass 0.5–4 Hz, accelerometer gating (vector magnitude threshold 0.03–0.05 g) to remove motion artefacts; accept HR epochs with &gt;=80% valid beats per 60 s; compute RMSSD only on cleaned IBIs. Decompose EDA tonic/phasic with cvxEDA and require &gt;=60% usable samples for phasic metrics. 6) Microclimate and MRT: measure air T/RH in aspirated shield at 1.2–1.5 m, 150 mm black globe for MRT, shortwave/longwave radiometers and 3-axis ultrasonic anemometer; compute MRT from globe using ISO globe equation and refine with radiometer + 3D geometry where needed. 7) Ethnography: continuous sensory field notes synchronized by timestamp (documenting light, airflow, surface contact, social interactions), photo-elicitation and semi-structured interviews in Portuguese. 8) Analysis pipeline: preregistered linear mixed-effects models (participant random intercept + slope for shade), GAMMs for nonlinearities, and event-based difference-in-differences (pre/post shade entry) with AR(1) residuals; include fixed effects for shading typology, MRT, air T, activity, clothing, time-of-day and season; spatial dependence modeled with Gaussian Process (Matern) at node level.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Pilot dataset: 8 vendors x 2 days repeated measures; 24 shoppers single visits. 2) Full dataset target: 40 vendors (8–12 sampling days each, 4–6 h per shift) and 160 shoppers (2–4 h visits) across seasons. Validation dataset: n≈24 lab validation with 3-lead ECG, lab EDA, thermistor. Baselines: unshaded exposure periods and chest-ECG subsample. Preprocessing rules: PPG validity &gt;=80% per 60 s; RMSSD computed only when accelerometer vector magnitude &lt;0.05 g. Models and analyses: A) Primary: mixed-effects model predicting wrist skin temperature, HR, RMSSD and subjective comfort with fixed effects (shade state, shading typology, MRT, air T, activity, clothing, time-of-day, season) and random effects (participant intercept + slope, node, day), AR(1) residuals. B) Nonlinear: GAMM with smoothing splines for MRT and time-of-day. C) Event analysis: difference-in-differences for shade entry/exit with 15 min pre / 30 min post windows (sensitivity 10–60 min). Spatial model: Gaussian Process (Matern) random intercept at node level. Baselines for comparison: (1) models without shade covariates, (2) models using uncorrected wrist skin-temp vs iButton-corrected values, (3) models without ethnographic covariates. Ablation studies: remove accelerometer gating to quantify motion bias; remove ethnographic covariates to test contribution of context; vary event window lengths (10,15,30,60 min). Evaluation metrics: mean change in skin temp (°C), mean HR change (bpm), RMSSD change (ms), subjective comfort change (Likert points), EDA phasic event count change; model fit: RMSE, AIC, BIC, marginal and conditional R^2; statistical inference: effect sizes with 95% CIs and FDR-corrected p-values. Validation metrics: Bland-Altman bias/LoA, ICC, Lin's concordance, RMSE for HR and RMSSD; EDA phasic sensitivity/specificity. Setup details: synchronize devices by NTP daily; nightly encrypted uploads; compute per-session QA reports; preregister model specifications, primary outcomes and analysis scripts before full deployment.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Sensor bias: wrist PPG and EDA performance degrades with high motion, sweat, and darker skin tones; validation may show systematic bias requiring fallback ECG subsample. 2) Motion artefacts: walking, hand use, and vendor tasks can corrupt PPG/EDA and reduce usable data; accelerometer gating may remove large fractions of epochs. 3) Missing data: sensor dropout, battery loss, or participant noncompliance will create uneven repeated measures and potential selection bias. 4) Safety incidents: heat illness risk may force early stoppage of sessions, changing sampling distribution. 5) Spatial and temporal variability: rapidly changing shade states and microclimates may limit generalization beyond sampled nodes and times. 6) Modeling limits: mixed models assume MAR missingness and correct random-effects structure; misspecification could bias estimates. 7) External validity: findings are context-specific to Cuiabá’s climate, vendor practices and materials and may not generalize to other cities. 8) Privacy and ethics: GPS traces and physiological data pose re-identification risks; de-identification reduces spatial resolution and analytical precision. 9) Computational cost: high-resolution ENVI-met or CFD validation and GP spatial models require substantial compute and specialist expertise, limiting rapid iteration.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