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spanish_winery_resilience_ols</w:t>
      </w:r>
    </w:p>
    <w:p>
      <w:r>
        <w:t xml:space="preserve"> </w:t>
      </w:r>
    </w:p>
    <w:p>
      <w:pPr>
        <w:pStyle w:val="Heading2"/>
      </w:pPr>
      <w:r>
        <w:t>Title</w:t>
      </w:r>
    </w:p>
    <w:p>
      <w:r>
        <w:t>Measuring resilience capacities in Spanish wineries using CFA-derived factor scores and survey-weighted OLS with spatial and IV robustness checks</w:t>
      </w:r>
    </w:p>
    <w:p>
      <w:r>
        <w:t xml:space="preserve"> </w:t>
      </w:r>
    </w:p>
    <w:p>
      <w:pPr>
        <w:pStyle w:val="Heading2"/>
      </w:pPr>
      <w:r>
        <w:t>Short Hypothesis</w:t>
      </w:r>
    </w:p>
    <w:p>
      <w:r>
        <w:t>Higher firm-level innovation causally increases winery adaptability when environmental challenges are high.</w:t>
      </w:r>
    </w:p>
    <w:p>
      <w:r>
        <w:t xml:space="preserve"> </w:t>
      </w:r>
    </w:p>
    <w:p>
      <w:pPr>
        <w:pStyle w:val="Heading2"/>
      </w:pPr>
      <w:r>
        <w:t>Related Work</w:t>
      </w:r>
    </w:p>
    <w:p>
      <w:r>
        <w:t>Prior studies document that Spanish wineries display resilience through adaptation and innovation and that firm size and local embeddedness influence stability. Existing approaches mainly use descriptive analyses, basic regressions, or unvalidated indices of resilience. Common weaknesses are small or non-representative samples, treating Likert items as continuous without ordinal measurement models, limited use of objective environmental data, inadequate handling of survey design and weights, weak attention to endogeneity of innovation and rural commitment, and sparse spatial or cluster-aware inference. Few studies pre-specify measurement rules, invariance checks, or IV falsification tests, which reduces inferential credibility. There is also limited integration of qualitative validation with quantitative indices and typologies, and little work on how innovation typologies interact with rural commitment under specific challenge types.</w:t>
      </w:r>
    </w:p>
    <w:p>
      <w:r>
        <w:t xml:space="preserve"> </w:t>
      </w:r>
    </w:p>
    <w:p>
      <w:pPr>
        <w:pStyle w:val="Heading2"/>
      </w:pPr>
      <w:r>
        <w:t>Abstract</w:t>
      </w:r>
    </w:p>
    <w:p>
      <w:r>
        <w:t>This study evaluates how internal attributes of Spanish wineries interact with perceived economic, environmental, and social challenges to shape three resilience capacities: robustness, adaptability, and transformability. We build validated resilience measures from survey items using ordinal confirmatory factor analysis to produce standardized factor scores. We combine these with objective environmental indicators (drought, heat, soil sensitivity) and firm-level measures of innovation and rural commitment. Main analysis uses survey-weighted ordinary least squares with pre-specified interaction terms, supported by instrumented regressions for plausibly causal claims and spatial diagnostics for dependence. Main contributions are a preregistered measurement protocol for resilience, integration of objective environmental covariates and IV tests, and transparent sensitivity checks including imputation, weighting alternatives, and typology-based moderation. Expected outcomes include quantifying how innovation and rural embeddedness alter resilience under stress and providing reproducible evidence to inform targeted policy and local interventions for rural agro-industries.</w:t>
      </w:r>
    </w:p>
    <w:p>
      <w:r>
        <w:t xml:space="preserve"> </w:t>
      </w:r>
    </w:p>
    <w:p>
      <w:pPr>
        <w:pStyle w:val="Heading2"/>
      </w:pPr>
      <w:r>
        <w:t>Methodology</w:t>
      </w:r>
    </w:p>
    <w:p>
      <w:r>
        <w:t>1) Data preparation: clean survey responses from 411 wineries; keep item-level Likert responses and firm controls. 2) Missing data: run multiple imputation by chained equations (MICE) at item level with m=20 imputations; use polytomous models for ordered items; include auxiliaries and design variables. MICE means filling in missing answers many times to capture uncertainty. 3) Weights: build raking/post-stratification weights on region/DO, size class, and firm type; trim extreme weights at 99th percentile and floor at 0.3 times median; report design effect and effective sample size. 4) Measurement: estimate ordinal CFA using WLSMV or robust DWLS on Likert items to form three latent factors (robustness, adaptability, transformability); extract standardized factor scores (mean 0, SD 1). CFA is confirmatory factor analysis, a way to build latent scores from related items. 5) Invariance: test configural, metric, scalar invariance across size, ownership, and region; accept partial invariance per pre-specified rules. 6) Innovation and rural-commitment: create indices and typologies using PCA and latent class or clustering; explain terms simply (PCA reduces correlated variables to main components; latent class groups firms with similar patterns). 7) Objective environmental covariates: compute SPEI, ERA5 root-zone moisture, Tmax&gt;35 days, NDVI trends, FWI, and soil metrics aggregated at municipality and DO. 8) Main models: run survey-weighted OLS (svyglm) of each resilience factor on innovation, rural-commitment, perceived challenges, and their interactions; center continuous vars. 9) IV strategy: pre-specify instruments (grant eligibility rules, historical subsidy intensity, distance to agri-R&amp;D) and run 2SLS with first-stage and weak-IV diagnostics. IV is instrumental variable, a tool to isolate causal variation. 10) Spatial checks: compute Moran's I on residuals using contiguity, inverse-distance, and k-nearest matrices; if present, run spatial error or lag models and multilevel random-intercept models. 11) Sensitivity: compare factor scores from WLSMV vs ML, weighted vs unweighted CFA, with/without weights, and with/without typology moderators; report fit indices CFI/TLI/RMSEA/SRMR and reliability (omega). 12) Reporting: present standardized betas, confidence intervals, effect sizes, MDEs, and code for reproducibility.</w:t>
      </w:r>
    </w:p>
    <w:p>
      <w:r>
        <w:t xml:space="preserve"> </w:t>
      </w:r>
    </w:p>
    <w:p>
      <w:pPr>
        <w:pStyle w:val="Heading2"/>
      </w:pPr>
      <w:r>
        <w:t>Experiments</w:t>
      </w:r>
    </w:p>
    <w:p>
      <w:r>
        <w:t>Datasets: 1) Primary survey data: 411 Spanish wineries with item-level Likert responses on resilience dimensions, firm attributes, innovation activities, rural commitment, perceived challenges, geocodes. 2) Environmental data: SPEI (3/6/12 month), ERA5-Land root-zone soil moisture, Tmax series, NDVI trend (remote sensing), FWI, soil/terrain metrics (municipality and DO aggregations). 3) Administrative data: historical municipal subsidy intensity, grant eligibility rules, agri-R&amp;D center locations. Baselines: A) Unweighted OLS using item-average z-scores; B) OLS with ML-derived factor scores treating items as continuous; C) OLS without interaction terms; D) Models excluding survey weights. Models to run: 1) CFA WLSMV with invariance tests; 2) Survey-weighted OLS with interaction terms: Resilience = innovation + rural_commit + perceived_challenge + innovation*challenge + rural_commit*challenge + controls + DO FE; 3) IV 2SLS for innovation or rural_commit where instrumented; 4) Spatial error and lag models if Moran's I significant; 5) Multilevel random-intercept models (municipality nested in DO). Evaluation metrics: CFA fit (CFI, TLI, RMSEA, SRMR), factor reliability (McDonald omega), regression: standardized beta, 95% CI, p-value, adjusted R-squared, MDEs, VIF for collinearity, first-stage F, Kleibergen-Paap, Anderson-Rubin CI for IV, design effect and effective sample size. Experimental setup: run MICE m=20 imputations and pool estimates with Rubin's rules; estimate survey-weighted CFA with lavaan.survey; run svyglm regressions and cluster-robust SEs by municipality; if municipality clusters are few, run CR2/Wild-Cluster-Bootstrap as specified. Ablation studies: 1) Compare WLSMV factor scores vs ML scores in main regressions. 2) Compare weighted vs unweighted analyses. 3) Exclude typology moderator to test its added value. 4) Run models with and without IVs to assess identification. 5) Run spatial-corrected vs uncorrected models to assess bias from spatial dependence.</w:t>
      </w:r>
    </w:p>
    <w:p>
      <w:r>
        <w:t xml:space="preserve"> </w:t>
      </w:r>
    </w:p>
    <w:p>
      <w:pPr>
        <w:pStyle w:val="Heading2"/>
      </w:pPr>
      <w:r>
        <w:t>Risk Factors And Limitations</w:t>
      </w:r>
    </w:p>
    <w:p>
      <w:r>
        <w:t>1) Measurement failure: CFA may not reach fit thresholds or invariance across groups, limiting comparability. 2) Weak instruments: candidate IVs may have low first-stage strength (F&lt;10), preventing causal interpretation. 3) Sample size limits: n=411 may be insufficient for complex SEM or many interaction terms, raising MDEs for interactions. 4) Survey nonresponse or measurement bias: perceptions may not match objective conditions, causing measurement error. 5) Weighting effects: extreme weights can inflate variance and reduce effective sample size; trimming choices influence results. 6) Spatial autocorrelation: unmodeled spatial dependence can bias SEs and coefficients. 7) Cluster count imbalance: few or uneven municipality clusters can invalidate standard cluster-robust SEs. 8) Imputation challenges: MICE may not fully respect survey design or ordinal structure if not implemented carefully, leading to biased imputations. 9) Generalizability: findings on Spanish wineries may not transfer to other sectors or countries. 10) Convergence and software limits: weighted ordinal CFA, complex SEM, or Bayesian latent interactions may fail to converge or be computationally intensive.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