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fruit_voucher_rct_nigeria_vietnam</w:t>
      </w:r>
    </w:p>
    <w:p>
      <w:r>
        <w:t xml:space="preserve"> </w:t>
      </w:r>
    </w:p>
    <w:p>
      <w:pPr>
        <w:pStyle w:val="Heading2"/>
      </w:pPr>
      <w:r>
        <w:t>Title</w:t>
      </w:r>
    </w:p>
    <w:p>
      <w:r>
        <w:t>A cluster-randomized controlled trial testing whether fruit vouchers increase fruit affordability and consumption in peri-urban and urban Nigeria and Vietnam</w:t>
      </w:r>
    </w:p>
    <w:p>
      <w:r>
        <w:t xml:space="preserve"> </w:t>
      </w:r>
    </w:p>
    <w:p>
      <w:pPr>
        <w:pStyle w:val="Heading2"/>
      </w:pPr>
      <w:r>
        <w:t>Short Hypothesis</w:t>
      </w:r>
    </w:p>
    <w:p>
      <w:r>
        <w:t>Providing monthly fruit vouchers to households causes an increase in household fruit affordability and average daily fruit consumption compared to households not offered vouchers.</w:t>
      </w:r>
    </w:p>
    <w:p>
      <w:r>
        <w:t xml:space="preserve"> </w:t>
      </w:r>
    </w:p>
    <w:p>
      <w:pPr>
        <w:pStyle w:val="Heading2"/>
      </w:pPr>
      <w:r>
        <w:t>Related Work</w:t>
      </w:r>
    </w:p>
    <w:p>
      <w:r>
        <w:t>Previous studies have tested price subsidies, vouchers, or cash transfers to change diet and fruit consumption using randomized designs. Existing approaches show that lowering effective prices can raise purchases and some dietary indicators, but limitations remain: many studies focus on single-country settings, use limited fraud controls for vendor redemption, do not fully test market price feedbacks or general-equilibrium effects, lack rigorous small-cluster inference methods, seldom combine validated biomarkers with dietary recalls, and often omit demand-system welfare estimation. Measurement weaknesses include sparse within-person repeats for deattenuation of 24-hour recalls and limited sentinel market linkage to household redemption. Econometric analyses in past work frequently rely on cluster-robust standard errors without randomized-inference or wild-bootstrap robustness checks when cluster counts are small. These gaps make it hard to assess dose–response, vendor behavior, and true welfare impacts across diverse urbanizing contexts.</w:t>
      </w:r>
    </w:p>
    <w:p>
      <w:r>
        <w:t xml:space="preserve"> </w:t>
      </w:r>
    </w:p>
    <w:p>
      <w:pPr>
        <w:pStyle w:val="Heading2"/>
      </w:pPr>
      <w:r>
        <w:t>Abstract</w:t>
      </w:r>
    </w:p>
    <w:p>
      <w:r>
        <w:t>This study tests whether monthly fruit vouchers increase fruit affordability and consumption in peri-urban and urban areas of Nigeria and Vietnam using a cluster-randomized controlled trial. Clusters defined by market catchments are randomized to receive household-targeted monthly vouchers for six months or to a control arm. Primary outcomes are adult-equivalent daily fruit servings and an affordability index (fruit share of food expenditure). The trial pairs household dietary measures (two non-consecutive 24-hour recalls), expenditure modules, vendor redemption logs, sentinel market prices, and a biomarker substudy (plasma vitamin C and provitamin A carotenoids). Analysis uses intent-to-treat with randomization inference and wild cluster bootstrap for inference, and instrumental-variable methods to estimate complier effects and price pass-through. The main contribution is an integrated design combining operational anti-fraud controls, market monitoring, biomarker validation, and demand-system welfare estimation to quantify consumption, price dynamics, and welfare effects of market-based subsidy interventions in two countries.</w:t>
      </w:r>
    </w:p>
    <w:p>
      <w:r>
        <w:t xml:space="preserve"> </w:t>
      </w:r>
    </w:p>
    <w:p>
      <w:pPr>
        <w:pStyle w:val="Heading2"/>
      </w:pPr>
      <w:r>
        <w:t>Methodology</w:t>
      </w:r>
    </w:p>
    <w:p>
      <w:r>
        <w:t>Overview: Implement a cluster-randomized controlled trial with market-catchment clusters randomized to voucher or control. Cluster definition: use pilot GIS mapping of vendors and travel patterns to assign households to the dominant market catchment (algorithm: assign each household to the vendor with shortest travel time; if within equal time to multiple vendors, assign by highest vendor transaction volume). Randomization: blocked within strata (country×site, urban vs peri-urban, baseline fruit consumption tertile, baseline SES quintile) with randomly permuted blocks. Voucher design: monthly nominal value ~40% of median pilot household fruit spending, one voucher/household/month for six months, 4-week validity, cryptographically signed voucher IDs (UUID+HMAC), one-time PIN or QR scan at POS, and offline logging with GPS/time. Data collection: household surveys with two non-consecutive 24-hour dietary recalls per respondent at baseline and endline (portion aids and photographic atlas), short FFQ, household expenditure module, allocation module asking who consumed voucher-purchased fruit, and repeated recalls for 20–30% to estimate within-person variance. Sentinels: twice-weekly retail and weekly wholesale prices, volumes, stockouts, and vendor catchment mapping. Biomarkers: target ~300 participants/country; collect plasma vitamin C and provitamin A carotenoids, stabilize samples with metaphosphoric acid, centrifuge ≤2 hours, store −80°C; blinded lab assays (HPLC). Analysis methods: primary intent-to-treat (ITT) using ANCOVA controlling baseline outcomes; inference by randomization inference (RI) and wild cluster bootstrap-t (Rademacher) with CR2 cluster-robust SEs reported. Secondary: per-protocol and TOT via two-stage least squares (2SLS) with assignment as instrument for redemption, Q-AIDS demand system for elasticity and compensating variation (technical term: Q-AIDS is a flexible equation system to estimate how demand changes with price), buffer-ring spillover tests (distance bands), adjacent-cluster placebo tests, and vendor fixed-effects regressions for price pass-through. Explain technical terms: ANCOVA is regression adjusting for baseline outcome; IV (instrumental variable) estimates causal effect when not all assigned receive treatment; HPLC is a lab method for measuring small molecules in blood.</w:t>
      </w:r>
    </w:p>
    <w:p>
      <w:r>
        <w:t xml:space="preserve"> </w:t>
      </w:r>
    </w:p>
    <w:p>
      <w:pPr>
        <w:pStyle w:val="Heading2"/>
      </w:pPr>
      <w:r>
        <w:t>Experiments</w:t>
      </w:r>
    </w:p>
    <w:p>
      <w:r>
        <w:t>Datasets: (1) household panel: baseline and endline surveys, two non-consecutive 24HRs per primary adult, caregiver-reported child 24HRs, FFQ, expenditure modules, allocation module; (2) voucher redemption logs: timestamped, vendor GPS, voucher ID, redeemed value; (3) sentinel market data: retail and wholesale prices by variety/grade, volumes, stockouts; (4) biomarker data: plasma vitamin C and provitamin A levels. Arms and baselines: treated clusters receive vouchers; control clusters no vouchers. Stratified by country (Nigeria, Vietnam) and urbanicity. Sample and cluster scenarios: report results for primary specification with 12 clusters/arm and m=40 households/cluster; run sensitivity analyses for cluster counts {6,8,10,12,15,20} and m={25,40,60}. Primary evaluation metrics: (a) average daily fruit servings per adult-equivalent (primary outcome), (b) affordability index = fruit expenditure share of total food expenditure (primary), secondary metrics: plasma vitamin C (µmol/L), redemption rate (%), local retail fruit prices (local currency/kg), dietary diversity score, compensating variation (local currency), and own-price elasticities from Q-AIDS. Estimation and inference: ITT regression of endline outcome on treatment indicator and baseline outcome with strata fixed effects; inference by RI and wild cluster bootstrap; report CR2 SEs and adjusted p-values. IV/TOT: 2SLS where first stage is assignment → redemption, instrumenting redeemed value per adult-equivalent to estimate dose–response. Spillover tests: buffer-ring distance regressions with bands (dense urban: 0–200m, 200–500m, 500–1000m; peri-urban: 500–1000m, 1000–1500m). Baseline comparisons: compare treated vs control at baseline on demographics and outcomes. Baselines and ablations: (A) fraud-control ablation: compare main design versus simulated weaker fraud controls (e.g., SMS-only vouchers) to measure impact of anti-fraud tech on measured effects; (B) inference ablation: compare RI vs wild bootstrap vs CR2 SEs to evaluate sensitivity of p-values; (C) dose–response ablation: estimate continuous redeemed value per AE with spline and linear IV forms; report compliers defined at thresholds ≥25%, ≥50%, ≥75% of vouchers redeemed. Reporting: pre-register primary timepoint (endline immediately after 6-month intervention) and present country-specific and pooled results.</w:t>
      </w:r>
    </w:p>
    <w:p>
      <w:r>
        <w:t xml:space="preserve"> </w:t>
      </w:r>
    </w:p>
    <w:p>
      <w:pPr>
        <w:pStyle w:val="Heading2"/>
      </w:pPr>
      <w:r>
        <w:t>Risk Factors And Limitations</w:t>
      </w:r>
    </w:p>
    <w:p>
      <w:r>
        <w:t>Technical and operational risks: fraud or vendor collusion leading to biased redemption data; low voucher redemption reducing power; insufficient cluster count or small cluster sizes causing weak inference; contamination from households shopping across clusters producing spillovers. Measurement risks: recall bias in 24HRs, imperfect allocation reporting within households, biomarker degradation from cold-chain failures, lab batch effects. Data and evaluation biases: non-random attrition, differential reporting by arm, and unobserved confounders affecting price dynamics. General-equilibrium and market risks: voucher-driven short-run price increases or supply shortages that change treatment effect interpretation. Scalability and logistics: high costs for vendor onboarding, POS devices, cold chain for biomarkers, and sentinel monitoring; regulatory delays or differing country rules limiting uniform implementation. Generalization limits: results may not transfer to rural areas, other countries, or seasons with different fruit availability. Computational limits: Q-AIDS and IV estimation require reliable price variation and can be unstable with few clusters; small-cluster inference methods reduce but do not eliminate finite-sample uncertainty.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