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ageing_osh_interventions</w:t>
      </w:r>
    </w:p>
    <w:p>
      <w:r>
        <w:t xml:space="preserve"> </w:t>
      </w:r>
    </w:p>
    <w:p>
      <w:pPr>
        <w:pStyle w:val="Heading2"/>
      </w:pPr>
      <w:r>
        <w:t>Title</w:t>
      </w:r>
    </w:p>
    <w:p>
      <w:r>
        <w:t>An exploratory multilevel questionnaire study of occupational safety and health interventions and their effects on safety and productivity in an ageing workforce</w:t>
      </w:r>
    </w:p>
    <w:p>
      <w:r>
        <w:t xml:space="preserve"> </w:t>
      </w:r>
    </w:p>
    <w:p>
      <w:pPr>
        <w:pStyle w:val="Heading2"/>
      </w:pPr>
      <w:r>
        <w:t>Short Hypothesis</w:t>
      </w:r>
    </w:p>
    <w:p>
      <w:r>
        <w:t>Workplaces that implement higher-dosage ergonomics and age-targeted OSH interventions will have lower lost-time injury rates per 100 FTE among workers aged 50+ over a 6-month period than workplaces without such interventions.</w:t>
      </w:r>
    </w:p>
    <w:p>
      <w:r>
        <w:t xml:space="preserve"> </w:t>
      </w:r>
    </w:p>
    <w:p>
      <w:pPr>
        <w:pStyle w:val="Heading2"/>
      </w:pPr>
      <w:r>
        <w:t>Related Work</w:t>
      </w:r>
    </w:p>
    <w:p>
      <w:r>
        <w:t>Prior studies show ergonomic adjustments and targeted training can reduce injuries and improve productivity for older workers. Multidisciplinary and composite interventions appear more effective than single measures. Existing work is limited by cross-sectional designs, small or single-sector samples, inconsistent intervention taxonomies, reliance on self-report outcomes, sparse use of aggregated objective organizational metrics, and weak causal identification. Few studies integrate process evaluation or measure implementation fidelity and adaptations. There is limited reporting on how contextual drivers such as safety climate or ageism modify intervention effects. These gaps reduce confidence in generalizability, causal claims, and guidance for scalable implementation.</w:t>
      </w:r>
    </w:p>
    <w:p>
      <w:r>
        <w:t xml:space="preserve"> </w:t>
      </w:r>
    </w:p>
    <w:p>
      <w:pPr>
        <w:pStyle w:val="Heading2"/>
      </w:pPr>
      <w:r>
        <w:t>Abstract</w:t>
      </w:r>
    </w:p>
    <w:p>
      <w:r>
        <w:t>We address how workplace occupational safety and health (OSH) interventions affect safety and productivity among workers aged 50 and over using an exploratory, questionnaire-based multilevel approach. We map common OSH interventions into engineering, administrative, and behavioral domains, measure implementation dosage and fidelity, and collect worker-reported outcomes plus aggregated organizational metrics (injuries, absenteeism, productivity). The study combines a pilot (n≈50–70) and a main sample across ≈40 workplaces with staged age cohorts (50–54, 55–59, 60–64, 65+). Main contributions are (1) a pragmatic intervention taxonomy and dosage index, (2) integrated multilevel and mediation analyses linking interventions to outcomes via reductions in physical demand, and (3) process evaluation measures of contextual drivers and barriers. Expected outcome is empirically grounded evidence on which interventions and contextual conditions produce measurable improvements in lost-time injuries, absenteeism, and work ability in ageing workforces, informing policy and implementation strategies.</w:t>
      </w:r>
    </w:p>
    <w:p>
      <w:r>
        <w:t xml:space="preserve"> </w:t>
      </w:r>
    </w:p>
    <w:p>
      <w:pPr>
        <w:pStyle w:val="Heading2"/>
      </w:pPr>
      <w:r>
        <w:t>Methodology</w:t>
      </w:r>
    </w:p>
    <w:p>
      <w:r>
        <w:t>1. Design and sampling: Stratified recruitment across sectors and sizes to enroll about 40 workplaces and 6–10 respondents per workplace (N≈240–400). Age cohorts: 50–54, 55–59, 60–64, 65+. Pilot 50–70 respondents across 8–12 workplaces with cognitive interviews. 2. Instrument: Build modules for intervention mapping (engineering, administrative, behavioral). For each intervention record implementation status, coverage percent, months since introduction, and intensity (e.g., training hours). Include exposure items (Borg CR10 perceived exertion, heavy-lift frequency, hours in awkward postures), outcomes (Nordic musculoskeletal checklist, Work Ability Index short form, WHO-HPQ), and contextual scales (Zohar safety climate short form, ADES/AGE ageism, perceived organizational support). 3. Objective data: request aggregated monthly counts for past 12 months: lost-time injuries, near-misses, absenteeism days, workers' comp claims, counts of ergonomic devices, and training hours. 4. Dosage index: compute a 0–100 ergonomics dosage index combining coverage, intensity, and recency. 5. Analysis: fit multilevel models with random intercepts by workplace and random slopes when ICC&gt;0.05. Test mediation where ergonomics dosage reduces physical demand mediating safety and productivity outcomes. Use multiple imputation (&gt;=20 imputations) for missing data and inverse-probability weighting for attrition. 6. Validation: run EFA and reliability checks on scales in pilot; refine items via cognitive interviews. Definitions: multilevel model = statistical model accounting for nested data (workers within workplaces); mediation = testing if a variable (e.g., reduced physical demand) transmits the effect from intervention to outcome.</w:t>
      </w:r>
    </w:p>
    <w:p>
      <w:r>
        <w:t xml:space="preserve"> </w:t>
      </w:r>
    </w:p>
    <w:p>
      <w:pPr>
        <w:pStyle w:val="Heading2"/>
      </w:pPr>
      <w:r>
        <w:t>Experiments</w:t>
      </w:r>
    </w:p>
    <w:p>
      <w:r>
        <w:t>Datasets: Pilot survey n=50–70 across 8–12 workplaces; main survey N≈240–400 across ≈40 workplaces. Employer-provided aggregated monthly objective data for up to 12 months where available. Worker survey measures include WHO-HPQ, Work Ability Index short form, Nordic MSD checklist, Zohar safety climate short form, ADES/AGE ageism scales, Borg CR10. Baselines: (A) null model with covariates only; (B) single-level regression using worker data only; (C) multilevel model without intervention variables; (D) multilevel model using only self-report outcomes or only objective proxies. Primary endpoints: lost-time injury rate per 100 FTE (org aggregate) or self-reported lost-time injury (6 months), absenteeism days per FTE (org aggregate), Work Ability Index score. Evaluation metrics: for rate outcomes use rate ratios and 95% CIs; for continuous outcomes report standardized betas, 95% CIs, RMSE, and ICC. Model selection: AIC, likelihood-ratio tests. Mediation: estimate indirect effects with bootstrap 95% CIs. Missing data: multiple imputation with 20 imputations. Power: run simr simulations across ICCs 0.01–0.10 to obtain minimum detectable effects (MDE) for fixed effects and cross-level interactions. Ablation studies: (1) remove ergonomics dosage index to test added value of composite dosing; (2) remove safety climate moderator to test moderation; (3) use only proxy productivity measures versus objective outputs. Software and setup: R with lme4/brms for multilevel models, simr for power sims, mice for imputation, lavaan or mediation packages for mediation. Pre-registration: analysis plan and primary endpoints before main analysis. Significance: p&lt;0.05 for primary tests; apply FDR for secondary outcomes.</w:t>
      </w:r>
    </w:p>
    <w:p>
      <w:r>
        <w:t xml:space="preserve"> </w:t>
      </w:r>
    </w:p>
    <w:p>
      <w:pPr>
        <w:pStyle w:val="Heading2"/>
      </w:pPr>
      <w:r>
        <w:t>Risk Factors And Limitations</w:t>
      </w:r>
    </w:p>
    <w:p>
      <w:r>
        <w:t>1. Objective data access: employers may refuse aggregated metrics, limiting validation and reducing causal strength. 2. Low response among 50+ workers: may bias estimates and reduce power for subgroup analyses. 3. Small cluster count: ≈40 workplaces may be insufficient to detect small cross-level interactions. 4. Measurement error and recall bias: retrospective pre/post items may be inaccurate. 5. Confounding and limited causal identification: without randomized rollout, residual confounding and concurrent interventions may bias estimates. 6. Missing data not at random (MNAR): standard imputation may give biased results if missingness depends on unobserved factors. 7. Generalizability: findings may not transfer across sectors or countries. 8. Small effect sizes: practical improvements may be modest and require larger samples to detect. 9. Computation: multilevel mediation and simulations can be compute-intensive for complex models and many imputations.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