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circular_osh_ecosystem</w:t>
      </w:r>
    </w:p>
    <w:p>
      <w:r>
        <w:t xml:space="preserve"> </w:t>
      </w:r>
    </w:p>
    <w:p>
      <w:pPr>
        <w:pStyle w:val="Heading2"/>
      </w:pPr>
      <w:r>
        <w:t>Title</w:t>
      </w:r>
    </w:p>
    <w:p>
      <w:r>
        <w:t>A mixed-methods cross-national study using a circular-ecosystem framework to evaluate occupational safety and health interventions</w:t>
      </w:r>
    </w:p>
    <w:p>
      <w:r>
        <w:t xml:space="preserve"> </w:t>
      </w:r>
    </w:p>
    <w:p>
      <w:pPr>
        <w:pStyle w:val="Heading2"/>
      </w:pPr>
      <w:r>
        <w:t>Short Hypothesis</w:t>
      </w:r>
    </w:p>
    <w:p>
      <w:r>
        <w:t>Implementing OSH interventions designed and governed using a circular-ecosystem approach that strengthens multi-actor data feedback loops causes a greater reduction in workplace incident rates than interventions developed using standard linear design-implementation-evaluation processes.</w:t>
      </w:r>
    </w:p>
    <w:p>
      <w:r>
        <w:t xml:space="preserve"> </w:t>
      </w:r>
    </w:p>
    <w:p>
      <w:pPr>
        <w:pStyle w:val="Heading2"/>
      </w:pPr>
      <w:r>
        <w:t>Related Work</w:t>
      </w:r>
    </w:p>
    <w:p>
      <w:r>
        <w:t>Existing OSH research typically follows linear stages: design, implementation, evaluation. Implementation-science frameworks (for example CFIR, RE-AIM, Proctor) measure adoption, fidelity, and effectiveness but treat interventions as discrete objects rather than embedded processes. Systems methods such as causal loop diagrams and system dynamics have been used to map safety feedbacks, yet prior work often relies on single-site case studies, lacks reproducible weighting of qualitative causal links, and rarely links CLDs to routine time-series data for validation. Sensor and routine-data studies in OSH focus on technical measurement but frequently omit actor engagement, governance, and cross-jurisdictional data rules. Limitations include weak cross-national comparability, insufficient transparency in how expert claims are aggregated into causal maps, limited statistical plans for interrupted time-series validation, and sparse guidance on missing-data handling for high-frequency sensor streams.</w:t>
      </w:r>
    </w:p>
    <w:p>
      <w:r>
        <w:t xml:space="preserve"> </w:t>
      </w:r>
    </w:p>
    <w:p>
      <w:pPr>
        <w:pStyle w:val="Heading2"/>
      </w:pPr>
      <w:r>
        <w:t>Abstract</w:t>
      </w:r>
    </w:p>
    <w:p>
      <w:r>
        <w:t>Workplace safety interventions often fail to sustain improvements because they are designed as isolated actions rather than ongoing, multi-actor processes. This study introduces a circular-ecosystem approach that reconceptualizes OSH interventions as interacting processes across design, implementation, evaluation, and follow-up, and across five ecosystem elements: value, actors, data/materials/flows, circular activities, and governance. We combine a two-phase qualitative expert engagement (exploratory interviews then focus groups) with a reproducible CLD (causal loop diagram) weighting procedure and sensitivity testing, and link coded qualitative claims to routine quantitative data (incident reports, claims, and sensor streams) using time-windowed matching. The main contribution is an operational, testable protocol that produces provenance-tagged CLDs, quantitatively validated causal links, and pilot-ready indicators for multi-site replication. Expected outcomes are (1) empirical CLDs with uncertainty quantification, (2) mapped indicators that track feedback loop functioning, and (3) evidence that circular-ecosystem designs yield larger incident-rate reductions than linear designs, informing scalable OSH policy and practice.</w:t>
      </w:r>
    </w:p>
    <w:p>
      <w:r>
        <w:t xml:space="preserve"> </w:t>
      </w:r>
    </w:p>
    <w:p>
      <w:pPr>
        <w:pStyle w:val="Heading2"/>
      </w:pPr>
      <w:r>
        <w:t>Methodology</w:t>
      </w:r>
    </w:p>
    <w:p>
      <w:r>
        <w:t>1) Qualitative phase: conduct 24–30 semi-structured expert interviews across 4–6 countries, coded with a shared codebook. Code each excerpt with NodeID, polarity (+, -, ±, 0), coder strength (1–3), timestamp, and exemplar quote. 2) CLD assembly: aggregate coded links into a causal loop diagram. Compute a composite link weight using a defined formula that combines frequency, median coder strength, and cross-source corroboration. 3) Sensitivity testing: run bootstraps (resample transcripts) and Monte-Carlo draws on coder strength to produce uncertainty intervals for each link weight and flag unstable links. (Bootstrap = repeated sampling with replacement; Monte-Carlo = random sampling from assumed distributions.) 4) Tagging and linkage: attach NodeID and timestamp to excerpts and match to routine data by SiteID within a ±14-day window to create event timelines. 5) Quantitative validation: treat validated CLD links as directional hypotheses and test them with interrupted time-series (ITS) or lagged correlation models using site-level time series. ITS uses segmented regression with AR(1) correction. 6) Pilot deployment: run multiple-case replication across 4 sites, collect sensor streams, incident reports, and engagement logs. 7) Governance and ethics: perform DPIA per site, apply GDPR principles as baseline, and document consent and retention rules per jurisdiction. 8) Documentation: keep provenance metadata for each CLD link indicating actor/source and evidence.</w:t>
      </w:r>
    </w:p>
    <w:p>
      <w:r>
        <w:t xml:space="preserve"> </w:t>
      </w:r>
    </w:p>
    <w:p>
      <w:pPr>
        <w:pStyle w:val="Heading2"/>
      </w:pPr>
      <w:r>
        <w:t>Experiments</w:t>
      </w:r>
    </w:p>
    <w:p>
      <w:r>
        <w:t>Datasets: (A) Qualitative transcripts from 24–30 interviews (4–6 countries); (B) Routine site data per site for 24 months total (12 months pre-intervention + 12 months post-intervention) including time-stamped incident reports, insurer claims, and sensor streams (high-frequency time-series); (C) Pilot monitoring logs (attendance, MOUs, actions). Baselines: (1) standard linear intervention sites (control) that implement comparable safety measures without explicit circular-ecosystem design; (2) CLD assembled with unweighted or rank-based aggregation as method baseline; (3) CLD with composite weight but with cross-source corroboration C set to zero (ablation). Evaluation metrics: primary = incident rate change (incidents per 100 FTE) measured monthly; secondary = cost per averted incident, Actor Engagement Index (% targeted actors participating), data completeness (% required fields), median reporting latency (hours), fidelity score (0–100), AIM acceptability mean. Statistical tests and setup: 1) For each site, run segmented regression ITS with AR(1) error to estimate level and slope changes post-intervention; significance alpha=0.05, cluster-robust SEs. 2) Multi-site inference via mixed-effects segmented regression with random intercepts for sites. 3) CLD validation: for each hypothesized link, compute directional concordance between qualitative-predicted change and quantitative indicator using sign test and Kendall's tau for ranked agreement. 4) Ablation studies: compare predictive validity (cross-validated R2 and AIC) of composite-weight CLD vs rank-based CLD and composite CLD without C. 5) Power/simulation: assume baseline monthly incident rate = 0.42 per 100 FTE (≈5/year), overdispersion factor = 1.5, target minimum detectable relative reduction = 10% with 80% power; run Monte-Carlo simulations per site to confirm sample adequacy. Reproducibility: provide fixed random seeds and scripts for bootstraps, Monte-Carlo, and ITS models.</w:t>
      </w:r>
    </w:p>
    <w:p>
      <w:r>
        <w:t xml:space="preserve"> </w:t>
      </w:r>
    </w:p>
    <w:p>
      <w:pPr>
        <w:pStyle w:val="Heading2"/>
      </w:pPr>
      <w:r>
        <w:t>Risk Factors And Limitations</w:t>
      </w:r>
    </w:p>
    <w:p>
      <w:r>
        <w:t>1) Data completeness: sensor failures, connectivity outages, or under-reporting of incidents may create large missing segments in time-series. 2) Small-sample inference: limited number of sites or short pre/post windows will reduce ITS power and limit causal claims. 3) Confounding and identification: lack of randomization and concurrent external changes can bias ITS estimates; omitted time-varying confounders remain a threat. 4) Coder variability: inter-coder disagreement on polarity or strength can produce unstable CLD links and reduce reproducibility. 5) Cross-national legal constraints: data transfer restrictions and differing retention rules can limit aggregation and comparability. 6) Sensor data biases: measurement drift, calibration errors, and heterogeneous device performance across sites can distort quantitative validation. 7) Generalization limits: findings may not generalize beyond sampled sectors, countries, or organizational sizes. 8) Compute and time limits: extensive bootstraps and Monte-Carlo runs on large transcript corpora and high-frequency streams may require substantial compute time and storage.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