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unpaid_eldercare_thailand_gender_norms</w:t>
      </w:r>
    </w:p>
    <w:p>
      <w:r>
        <w:t xml:space="preserve"> </w:t>
      </w:r>
    </w:p>
    <w:p>
      <w:pPr>
        <w:pStyle w:val="Heading2"/>
      </w:pPr>
      <w:r>
        <w:t>Title</w:t>
      </w:r>
    </w:p>
    <w:p>
      <w:r>
        <w:t>Fixed-effects, instrumental-variable, and mixed-method analysis of how social gender norms on altruistic behavior affect unpaid elderly care provision in Thailand</w:t>
      </w:r>
    </w:p>
    <w:p>
      <w:r>
        <w:t xml:space="preserve"> </w:t>
      </w:r>
    </w:p>
    <w:p>
      <w:pPr>
        <w:pStyle w:val="Heading2"/>
      </w:pPr>
      <w:r>
        <w:t>Short Hypothesis</w:t>
      </w:r>
    </w:p>
    <w:p>
      <w:r>
        <w:t>Communities with stronger social gender norms that prescribe altruistic caregiving for women cause higher unpaid care hours from women relative to men, holding elderly need constant.</w:t>
      </w:r>
    </w:p>
    <w:p>
      <w:r>
        <w:t xml:space="preserve"> </w:t>
      </w:r>
    </w:p>
    <w:p>
      <w:pPr>
        <w:pStyle w:val="Heading2"/>
      </w:pPr>
      <w:r>
        <w:t>Related Work</w:t>
      </w:r>
    </w:p>
    <w:p>
      <w:r>
        <w:t>Prior work uses cross-sectional surveys and qualitative studies to document gender gaps in unpaid eldercare and to measure social norms with attitudinal items, vignettes, or list experiments. Measurement-focused studies show vignette experiments and list/RRT methods reduce reporting bias but usually lack integration across modalities. Causal work on norms is limited: panel fixed-effects control for unobserved time-invariant confounders, while IV and staggered-DID designs are occasionally used but often face weak instruments and possible exclusion-violation because program rollouts can change services or labor markets directly. Dynamic panel methods (Arellano-Bond) address temporal dependence but rarely combine with rigorous norm measurement. Main limitations are: endogeneity of norms and caregiving, social-desirability bias in norm measures, weak or poorly documented instruments, insufficient power for subgroup inference, and sparse integration of qualitative context to interpret causal estimates.</w:t>
      </w:r>
    </w:p>
    <w:p>
      <w:r>
        <w:t xml:space="preserve"> </w:t>
      </w:r>
    </w:p>
    <w:p>
      <w:pPr>
        <w:pStyle w:val="Heading2"/>
      </w:pPr>
      <w:r>
        <w:t>Abstract</w:t>
      </w:r>
    </w:p>
    <w:p>
      <w:r>
        <w:t>This study examines whether social gender norms that frame altruistic behavior causally affect unpaid caregiving hours for elderly persons in Thailand. We combine longitudinal household survey analysis with an experimental measurement module and purposive qualitative fieldwork. Quantitatively, we estimate gender-by-norm effects using individual and household fixed-effects models, dynamic panel estimators, and instrumental-variables exploiting staggered policy/program rollouts that targeted gender norms. For measurement, we integrate Likert scales, a 2x2x2 factorial vignette experiment, randomized-response and list-experiment modules, and a latent-variable model that corrects for method-specific bias. Qualitatively, multi-site interviews explain mechanisms and heterogeneity. The main contribution is a reproducible causal and measurement pipeline that links credible identification with multimethod norm measurement and contextual interpretation. Expected outcomes are precise estimates of how altruistic gender norms shift unpaid care burdens, validated norm measures for policy evaluation, and evidence to inform gender-transformative eldercare policies in Thailand.</w:t>
      </w:r>
    </w:p>
    <w:p>
      <w:r>
        <w:t xml:space="preserve"> </w:t>
      </w:r>
    </w:p>
    <w:p>
      <w:pPr>
        <w:pStyle w:val="Heading2"/>
      </w:pPr>
      <w:r>
        <w:t>Methodology</w:t>
      </w:r>
    </w:p>
    <w:p>
      <w:r>
        <w:t>Overview: Implement a mixed-method causal pipeline combining longitudinal econometric models, natural experiments, rigorous norm measurement, and qualitative triangulation.</w:t>
        <w:br/>
        <w:t>1) Data sources: use existing panel data (National Survey of Older Persons and Thailand HSES waves) plus a new cross-sectional household survey with embedded norm modules and GPS. Add administrative data on timing and location of the 2015 Gender Equality Act awareness activities and 2016–2019 community gender-equity program rollouts.</w:t>
        <w:br/>
        <w:t>2) Measurement module: create injunctive (what people expect) and descriptive (what people do) Likert scales; run a 2×2×2 factorial vignette (caregiver gender: male/female; motive: duty/sacrifice; community approval: approve/disapprove). Implement a list experiment (control list of 4 neutral behaviors; treatment adds one sensitive gendered-care item) and an RRT question with known probability p=0.5. Where literacy allows, use ACASI (audio computer-assisted self-interview); otherwise use standardized interviewer scripts with comprehension checks. Explain: ACASI lets respondents hear and enter responses privately; RRT hides individual answers using a known random mechanism so sensitive items can be reported indirectly.</w:t>
        <w:br/>
        <w:t>3) Psychometrics: fit a confirmatory factor analysis (CFA) latent-variable model to combine Likert scales, vignette responses, list/RRT-derived prevalence, and behavioral time-allocation tasks. Include method factors to capture measurement-mode bias. Test measurement invariance across respondent gender, region, and language groups; if full invariance fails estimate partial invariance models.</w:t>
        <w:br/>
        <w:t>4) Causal identification: primary models are individual and household fixed-effects regressions of unpaid care hours on community-level norm aggregates and individual norm scores, controlling for time-varying elderly need and household covariates. For exogenous variation, use IVs based on staggered rollouts: intensity of local Gender Equality Act campaigns and phased community programs. Pre-register first-stage and exclusion tests. Implement staggered-DiD estimators (Sun &amp; Abraham or Callaway &amp; Sant'Anna estimators) to avoid bias from heterogeneous adoption timing. Also run dynamic panel models (Arellano-Bond) to account for lagged dependence and feedback between norms and caregiving.</w:t>
        <w:br/>
        <w:t>5) Estimation details: cluster-robust standard errors at PSU level; report first-stage F-statistics, Kleibergen-Paap, Hansen J where overidentification applies. For latent norms, report factor loadings, CFI, RMSEA, Cronbach’s alpha. Use multiple imputation for item missingness and IPW (inverse probability weighting) for attrition; include multiple linkage realizations to reflect probabilistic matching uncertainty.</w:t>
        <w:br/>
        <w:t>6) Qualitative integration: purposive sampling across regions and migrant/ethnic contexts; semi-structured interviews and focus groups will probe mechanism hypotheses suggested by quantitative results. Use joint displays to map quantitative heterogeneity to qualitative themes.</w:t>
        <w:br/>
        <w:t>7) Reproducibility: versioned ETL pipelines, documented codebooks, and preregistration of models and robustness checks.</w:t>
      </w:r>
    </w:p>
    <w:p>
      <w:r>
        <w:t xml:space="preserve"> </w:t>
      </w:r>
    </w:p>
    <w:p>
      <w:pPr>
        <w:pStyle w:val="Heading2"/>
      </w:pPr>
      <w:r>
        <w:t>Experiments</w:t>
      </w:r>
    </w:p>
    <w:p>
      <w:r>
        <w:t>Datasets: (a) Existing: National Survey of Older Persons (NSOP) waves covering elderly needs and caregiving, Thailand HSES panel modules with household demographics; (b) New: primary survey n≈1,600 elderly households across ~80 PSUs (≈20 households/PSU) with GPS, norm modules, vignettes, list/RRT, time-allocation task; (c) Administrative rollout data on 2015 Gender Equality Act activities and 2016–2019 community program implementation dates/locations; (d) Facility geodata (health/eldercare centers). Baselines: (1) OLS cross-sectional regressions of unpaid care hours; (2) individual fixed-effects without IV; (3) staggered-DiD naive estimator. Main estimators: individual/household fixed-effects with clustered SEs; IV two-stage least squares using rollout intensity as instrument; Sun &amp; Abraham or Callaway &amp; Sant'Anna staggered-DiD; Arellano-Bond dynamic panel. Measurement baselines: simple scale scores vs latent CFA integrating method factors.</w:t>
        <w:br/>
        <w:t>Evaluation metrics: treatment effect in hours/week (point estimate and 95% CI), first-stage F-stat, Kleibergen-Paap, Hansen J p-value, ICCs, CFA fit indices (CFI≥0.95 target, RMSEA≤0.06), Cronbach's alpha, bias estimates from list/RRT (difference vs direct question), RMSE of predictive models for caregiving hours, and subgroup standard errors. Power/setup: primary sample n=1,600 detects standardized gender×norm interaction ≈0.25 (80% power) under ICC 0.05–0.10 and design effect 1.5–2.0. Sensitive modules: allocate list experiment to 800 respondents and RRT to 800 respondents (random halves) to obtain stable prevalence estimates; cognitive testing n=30–40; pilot n=100 households.</w:t>
        <w:br/>
        <w:t>Randomization: vignette randomized at individual level across the 2×2×2 factorial design with equal allocation. List experiment uses control/treatment random assignment. RRT uses randomization mechanism with known p=0.5.</w:t>
        <w:br/>
        <w:t>Ablation studies: (A) drop instrument and compare fixed-effects vs IV estimates; (B) drop vignette inputs from latent model and compare norm effect estimates; (C) compare ACASI subsample vs interviewer-administered subsample to measure mode effects; (D) use alternative instruments (e.g., media exposure measures) and compare point estimates and first-stage strength.</w:t>
        <w:br/>
        <w:t>Pre-specified robustness checks: event-study pre-trends for each instrument, placebo outcomes unrelated to caregiving (e.g., roofing repairs), spatial spillover models, and synthetic-control analyses where cluster counts permit.</w:t>
      </w:r>
    </w:p>
    <w:p>
      <w:r>
        <w:t xml:space="preserve"> </w:t>
      </w:r>
    </w:p>
    <w:p>
      <w:pPr>
        <w:pStyle w:val="Heading2"/>
      </w:pPr>
      <w:r>
        <w:t>Risk Factors And Limitations</w:t>
      </w:r>
    </w:p>
    <w:p>
      <w:r>
        <w:t>1) IV exclusion threat: policy/program rollouts may affect caregiving directly through service changes or labor-market shifts, violating exclusion restrictions. 2) Weak instruments: low variation or weak first-stage effects reduce identification power. 3) Measurement bias: social desirability, comprehension failure, or mode effects (ACASI vs interviewer) can bias norm measures. 4) List/RRT statistical noise: indirect methods increase variance and may need larger sample sizes than available for precise subgroup estimates. 5) Attrition and missing data: nonrandom dropout can bias longitudinal estimates if MNAR (missing not at random). 6) Probabilistic linkage errors: matching administrative and survey records can introduce misclassification and measurement error. 7) Subgroup power limits: detecting effects in small strata (ethnic minorities, migrants, high-intensity caregivers) may be underpowered with proposed sample. 8) Generalizability: findings are specific to Thailand’s cultural and policy context and may not transfer to other countries. 9) Geoprivacy constraints: aggregating or masking spatial data reduces spatial precision for community-level norm measures. 10) Computational complexity: latent-variable models with method factors, multiple imputations, and multiple linkage realizations increase computational cost and require careful reproducible pipelines.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