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trade_agreements_mtl_sustainability</w:t>
      </w:r>
    </w:p>
    <w:p>
      <w:r>
        <w:t xml:space="preserve"> </w:t>
      </w:r>
    </w:p>
    <w:p>
      <w:pPr>
        <w:pStyle w:val="Heading2"/>
      </w:pPr>
      <w:r>
        <w:t>Title</w:t>
      </w:r>
    </w:p>
    <w:p>
      <w:r>
        <w:t>Estimating the causal effect of free trade agreements and fisheries-related provisions on country-year mean trophic level using propensity score matching combined with staggered difference-in-differences</w:t>
      </w:r>
    </w:p>
    <w:p>
      <w:r>
        <w:t xml:space="preserve"> </w:t>
      </w:r>
    </w:p>
    <w:p>
      <w:pPr>
        <w:pStyle w:val="Heading2"/>
      </w:pPr>
      <w:r>
        <w:t>Short Hypothesis</w:t>
      </w:r>
    </w:p>
    <w:p>
      <w:r>
        <w:t>Adoption of a free trade agreement containing binding fisheries-related provisions causes an increase in a country's mean trophic level (MTL_excl_unknowns) within two years after entry into force relative to comparable countries that do not adopt such agreements.</w:t>
      </w:r>
    </w:p>
    <w:p>
      <w:r>
        <w:t xml:space="preserve"> </w:t>
      </w:r>
    </w:p>
    <w:p>
      <w:pPr>
        <w:pStyle w:val="Heading2"/>
      </w:pPr>
      <w:r>
        <w:t>Related Work</w:t>
      </w:r>
    </w:p>
    <w:p>
      <w:r>
        <w:t>Prior work evaluates links between trade policy and environmental or fisheries outcomes using cross-country panels, mean trophic level (MTL) as an indicator of fisheries sustainability, and observational causal methods such as difference-in-differences (DID) or propensity score matching (PSM). Common limitations are (1) attenuation and bias from species-level measurement error in MTL data, (2) biased DID estimates when adoption is staggered and treatment effects are heterogeneous, (3) inadequate control for spatial spillovers and distant-water fishing, (4) coarse binary treatment coding that ignores clause bindingness and enforcement, and (5) weak or ad-hoc treatment of endogeneity of treaty signing. Existing studies often lack a combined strategy that (i) pre-treats measurement error, (ii) constructs clause-level intensity measures, (iii) enforces strong pre-treatment balance, and (iv) uses recent staggered-DID estimators robust to heterogeneity.</w:t>
      </w:r>
    </w:p>
    <w:p>
      <w:r>
        <w:t xml:space="preserve"> </w:t>
      </w:r>
    </w:p>
    <w:p>
      <w:pPr>
        <w:pStyle w:val="Heading2"/>
      </w:pPr>
      <w:r>
        <w:t>Abstract</w:t>
      </w:r>
    </w:p>
    <w:p>
      <w:r>
        <w:t>This study tests whether signing free trade agreements (FTAs), and specifically FTAs with binding fisheries-related provisions, causally affects marine fisheries sustainability measured by mean trophic level (MTL). We build a country-year panel (1950–2018) combining species-resolved catch reconstructions, a clause-level FTA database that codes bindingness and enforcement, and environmental, effort, and governance covariates. Our identification strategy pairs propensity score matching (PSM) on rich pre-treatment ecological and policy covariates with staggered adoption difference-in-differences (Callaway &amp; Sant’Anna) to estimate group-time average treatment effects. We address measurement error in MTL with SIMEX and multiple imputation using the fraction of species-resolved catch as a reliability input, and we test spatial spillovers using neighbor-exposure metrics and spatial-DID variants. Main contributions are: a transparent fisheries_intensity score for FTAs, a reproducible PSM+DID workflow tailored for staggered treatments, and bounded, measurement-error-aware ATT estimates. Expected outcomes include credible causal estimates of FTA impacts on MTL and policy-relevant evidence on which treaty designs are associated with sustainable fisheries outcomes.</w:t>
      </w:r>
    </w:p>
    <w:p>
      <w:r>
        <w:t xml:space="preserve"> </w:t>
      </w:r>
    </w:p>
    <w:p>
      <w:pPr>
        <w:pStyle w:val="Heading2"/>
      </w:pPr>
      <w:r>
        <w:t>Methodology</w:t>
      </w:r>
    </w:p>
    <w:p>
      <w:r>
        <w:t>1) Data assembly: build a country-year panel (1950–2018) with primary outcome MTL_excl_unknowns (mean trophic level excluding 'unknown/NEI' taxa). Primary sources: Sea Around Us species-resolved catch grids (primary), FAO catch as fallback, treaty texts for clause coding, Global Fishing Watch effort, NOAA OISST (SST), MODIS chlorophyll-a, WDPA MPA layers, governance indices, and trade/fisheries economic variables. 2) Treatment coding: create clause-level annotations that record topical scope (IUU, quotas, MPAs), bindingness (mandatory vs aspirational), enforcement (dispute settlement, sanctions), timelines, and technical assistance. From clause features compute a continuous fisheries_intensity_score in [0,1]; also create binary FTA_entry_into_force and FTA_with_fisheries_clause indicators. 3) Pre-treatment covariates: compute 5- and 10-year pre-treatment means and linear slopes for environmental (SST, chlorophyll), fishing pressure (Global Fishing Watch effort, fleet-capacity proxies), governance (World Bank indicators), MPA coverage, export share/value per tonne, DWF exposure, and pre-treatment MTL trend. 4) Propensity score matching (PSM): estimate propensity to receive treatment using a logit on these pre-treatment covariates; match nearest neighbor with replacement, caliper 0.2 SD on the logit score; trim units outside 1st–99th percentile common support. Report standardized mean differences (SMD) and require SMD &lt; 0.1 pre-registered threshold. 5) Staggered DID: apply Callaway &amp; Sant’Anna (group-time ATT) on the matched sample to handle varying adoption timing; primary lag window 0–5 years with main lag = 2 years and event-study dynamics. If estimator does not accept matching weights, run DID on the matched (weighted) sample or run CSA on trimmed sample and include matching covariates as controls. 6) Measurement error: implement SIMEX (Simulation Extrapolation) using fraction_species_level as reliability input and run multiple imputation for species IDs; report SIMEX-adjusted ATT and bounded estimates under plausible reliability ranges. 7) Spatial tests: compute neighbor-treatment exposure (adjacency and distance-weighted) and run spatial-DID variants and clustered inference. 8) Mediation: pre-specify mediators (export_share, fleet_capacity_change, fuel_subsidy_proxy, enforcement_activity) and run lagged causal mediation models. 9) Robustness: run entropy balancing, kernel matching, TWFE DID, synthetic control for large single-FTA cases, placebo treatments, Rosenbaum bounds, and Oster sensitivity checks. 10) Reproducibility: implement ETL pipeline, fixed seeds, and publish clause-level codebook and derived aggregated variables.</w:t>
      </w:r>
    </w:p>
    <w:p>
      <w:r>
        <w:t xml:space="preserve"> </w:t>
      </w:r>
    </w:p>
    <w:p>
      <w:pPr>
        <w:pStyle w:val="Heading2"/>
      </w:pPr>
      <w:r>
        <w:t>Experiments</w:t>
      </w:r>
    </w:p>
    <w:p>
      <w:r>
        <w:t>Dataset: country-year panel 1950–2018. Primary outcome: MTL_excl_unknowns. Primary treatments: (a) FTA_entry_into_force (binary), (b) FTA_with_fisheries_clause (binary), (c) fisheries_intensity_score (continuous 0–1). Covariates: catch-weighted SST trend, chlorophyll-a trend, ENSO index, Global Fishing Watch effort, fleet capacity growth proxy, DWF exposure, MPA coverage, governance indices, fisheries export share/value per tonne, pre-treatment MTL trend. Baselines: (B1) TWFE DID without matching, (B2) Callaway &amp; Sant’Anna (CSA) staggered DID without matching, (B3) PSM average treatment effect on matched sample (no DID), (B4) CSA on matched sample (primary), (B5) Synthetic control/matrix completion for selected large FTAs, and (B6) spatial-DID variant including neighbor-treatment. Matching: nearest neighbor k=1 with replacement, caliper=0.2 SD on logit PS, trim outside 1st–99th percentile. Primary estimation: run CSA on matched, trimmed sample estimating group-time ATT and event-study coefficients for leads/lags 0–5 (primary lag=2). Inference: cluster SEs by maritime basin and by country as two-way clustering if feasible; if number of clusters &lt;50 use wild cluster bootstrap. Evaluation metrics: ATT point estimate, 95% CI, p-values, pre-trend test p-values (lead coefficients), SMD before/after matching (target SMD&lt;0.1), overlap plots, MDE table, SIMEX-adjusted ATT and bounds, Rosenbaum bounds for unobserved bias, first-stage F-stat for any IVs. Ablation studies: (A1) omit fisheries_intensity_score and use binary treatment; (A2) skip SIMEX and compare raw ATT; (A3) include spatial neighbor-treatment variable vs exclude; (A4) use entropy balancing instead of nearest-neighbor PSM. Comparison: report how ATT magnitude and significance change across baselines and ablations. Pre-registered secondary analyses: heterogeneity by governance (high/low), fleet type (industrial vs small-scale), tropical vs temperate, and mediation analysis using lagged mediators. Reporting: provide matching diagnostics, event-study plots, SIMEX grids, and full code to reproduce results.</w:t>
      </w:r>
    </w:p>
    <w:p>
      <w:r>
        <w:t xml:space="preserve"> </w:t>
      </w:r>
    </w:p>
    <w:p>
      <w:pPr>
        <w:pStyle w:val="Heading2"/>
      </w:pPr>
      <w:r>
        <w:t>Risk Factors And Limitations</w:t>
      </w:r>
    </w:p>
    <w:p>
      <w:r>
        <w:t>1) Measurement error: species-level misclassification and reconstructed catches may bias MTL and produce attenuation; SIMEX and imputation may not fully recover true signal. 2) Endogeneity: unobserved factors that drive both FTA signing and fisheries trends (political economy, unrecorded reforms) may invalidate causal claims. 3) Weak instruments: candidate instruments for treaty timing may be weak or violate exclusion, producing invalid IV results. 4) Treatment coding subjectivity: clause-level intensity scoring requires human judgment and may introduce noise or bias. 5) Staggered adoption inference: heterogeneous timing and treatment effects complicate inference and may reduce interpretability of average ATT. 6) Spatial spillovers: cross-border fishing and DWF may blur treatment attribution and violate SUTVA (no interference) assumptions. 7) Power: detectable effect sizes may be large relative to plausible ecological changes, limiting statistical power for subgroups. 8) Data access and licensing: Sea Around Us or treaty corpus licensing may restrict public release of raw inputs; sharing may be limited to aggregated derivatives. 9) Computational cost: SIMEX, multiple imputation, and spatial matrices on long panels can be compute-intensive. 10) External validity: results reflect historical covariation (1950–2018) and may not generalize to future treaty designs or rapidly changing ocean conditions.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