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modularity_quantification_data_quality</w:t>
      </w:r>
    </w:p>
    <w:p>
      <w:r>
        <w:t xml:space="preserve"> </w:t>
      </w:r>
    </w:p>
    <w:p>
      <w:pPr>
        <w:pStyle w:val="Heading2"/>
      </w:pPr>
      <w:r>
        <w:t>Title</w:t>
      </w:r>
    </w:p>
    <w:p>
      <w:r>
        <w:t>A causal and structured data management framework to quantify modularity effects in modular product families</w:t>
      </w:r>
    </w:p>
    <w:p>
      <w:r>
        <w:t xml:space="preserve"> </w:t>
      </w:r>
    </w:p>
    <w:p>
      <w:pPr>
        <w:pStyle w:val="Heading2"/>
      </w:pPr>
      <w:r>
        <w:t>Short Hypothesis</w:t>
      </w:r>
    </w:p>
    <w:p>
      <w:r>
        <w:t>Raising BOM-level data completeness and provenance coverage in linked PLM–ERP–MES systems to &gt;=90% causally reduces the width of per-module cost estimate credible intervals by at least 30% compared to legacy untagged accounting.</w:t>
      </w:r>
    </w:p>
    <w:p>
      <w:r>
        <w:t xml:space="preserve"> </w:t>
      </w:r>
    </w:p>
    <w:p>
      <w:pPr>
        <w:pStyle w:val="Heading2"/>
      </w:pPr>
      <w:r>
        <w:t>Related Work</w:t>
      </w:r>
    </w:p>
    <w:p>
      <w:r>
        <w:t>Existing work connects modular product families to data-driven design, lifecycle analysis, and decision support using knowledge graphs and AI. Prior causal-methods applied in industry use difference-in-differences (DiD), instrumental variables (IV) and event studies. Data-integration research proposes ontologies and PLM–ERP–MES adapters. Accounting literature recommends activity-based costing (ABC) for more granular attribution. Limitations: most approaches assume adequate data quality and provenance, which is often false in practice; accounting systems aggregate overheads and lack module tags; missing data patterns (missing-not-at-random) are rarely addressed; synthetic benchmarks are limited or unpublished; causal identification assumptions (parallel trends, instrument exogeneity, no anticipatory effects) are not always tested; and operational governance, audit designs, and reproducible pipelines are underdeveloped for industrial pilots.</w:t>
      </w:r>
    </w:p>
    <w:p>
      <w:r>
        <w:t xml:space="preserve"> </w:t>
      </w:r>
    </w:p>
    <w:p>
      <w:pPr>
        <w:pStyle w:val="Heading2"/>
      </w:pPr>
      <w:r>
        <w:t>Abstract</w:t>
      </w:r>
    </w:p>
    <w:p>
      <w:r>
        <w:t>Quantifying the effects of modularity in product families remains unreliable because industrial data are incomplete, inconsistently tagged, and poorly governed. We propose a combined causal-inference and structured-data management framework that links PLM, ERP and MES data, introduces a minimal metadata schema and accounting tags, and applies a triangulation of causal methods (staggered DiD, IVs, and quasi-experiments) together with explicit missing-data and measurement-error models. Main contributions are: (1) a minimal canonical metadata and ETL contract for module-level traceability; (2) a reproducible synthetic-data generator that models MAR and MNAR missingness and accounting biases; and (3) an evaluation protocol that compares causal estimators and MNAR corrections on pilots and synthetic benchmarks. Expected outcome: auditable, uncertainty-aware per-module effect estimates with numeric acceptance targets (e.g., &gt;=90% BOM trace completeness and &gt;=30% CI width reduction) enabling actionable modularity decisions in industry.</w:t>
      </w:r>
    </w:p>
    <w:p>
      <w:r>
        <w:t xml:space="preserve"> </w:t>
      </w:r>
    </w:p>
    <w:p>
      <w:pPr>
        <w:pStyle w:val="Heading2"/>
      </w:pPr>
      <w:r>
        <w:t>Methodology</w:t>
      </w:r>
    </w:p>
    <w:p>
      <w:r>
        <w:t>1) Data inventory: list required systems and fields (PLM BOM_line_ref, module_id, module_version; ERP cost_object_id, unit_cost, GL accounts; MES work_order_id, timestamps). 2) Metadata and ETL contract: publish a minimal schema (fields, freshness SLAs, completeness thresholds) and schema-evolution rules. 3) Tagging prototype: add module_id and module_version as secondary dimensions on staging journals; keep a shadow dual-write ledger for pilot. 4) Knowledge graph (KG): ingest canonical records into a versioned KG (RDF/OWL or property graph) with provenance URIs. A KG is a graph that links entities (parts, modules, work orders) so we can query relationships. 5) Synthetic-data generator: hierarchical generator (component → module → variant) parameterized by log-normal costs, Gamma lead times, Beta defect rates; it injects MAR and MNAR missingness and allocation biases. 6) Causal identification and estimation: implement staggered DiD with event-study plots, two-stage least squares IV (use exogenous ERP/PLM rollout dates or supplier onboarding as instruments) and, where available, regression-discontinuity. State identification assumptions explicitly: parallel trends for DiD, exogeneity for IVs, and no anticipatory effects. 7) MNAR &amp; measurement-error handling: implement three methods — selection models (joint missingness and outcome), pattern-mixture models with sensitivity parameters, and a Bayesian hierarchical joint model that treats measured costs as noisy latent true costs. Explain: selection model estimates how missingness depends on unobserved data by modeling the missingness process. 8) Validation and diagnostics: run pre-trend tests, placebo outcomes, first-stage F-stat (&gt;10), covariate-balance checks, posterior predictive checks, PSIS-LOO/WAIC, calibration of confidence_score via audits. 9) Acceptance metrics: BOM-line completeness &gt;=90%, provenance &gt;=95%, per-module CI width reduction &gt;=30%, allocation-error &lt;10% of unit cost, decision flip-rate &lt;=10%.</w:t>
      </w:r>
    </w:p>
    <w:p>
      <w:r>
        <w:t xml:space="preserve"> </w:t>
      </w:r>
    </w:p>
    <w:p>
      <w:pPr>
        <w:pStyle w:val="Heading2"/>
      </w:pPr>
      <w:r>
        <w:t>Experiments</w:t>
      </w:r>
    </w:p>
    <w:p>
      <w:r>
        <w:t>Datasets: two types — (A) synthetic datasets from the published generator with scenarios: best (MAR), typical (mixed MAR/MNAR), worst (high MNAR correlated with complexity), adversarial (systematic miscapitalization); (B) industrial pilots: select 2–3 product families with &gt;=30 variants, &gt;=12 months history, and &gt;=10,000 transaction/work-order records each, with accessible PLM–ERP–MES links. Baselines: (1) legacy untagged accounting estimates (current ERP aggregate costs); (2) naive DiD without MNAR correction; (3) ABC using existing ERP tags (if present). Methods to compare: staggered DiD, DiD with multiple imputation, IV (2SLS) where instrument available, Bayesian joint model (latent measurement-error + MNAR), and TMLE with SIMEX for measurement error. Evaluation metrics: BOM-line completeness (%), provenance coverage (%), bias of per-module cost estimates (mean error), RMSE, CI coverage (empirical fraction true value in 95% CI), credible-interval width reduction (%), allocation-error (|legacy - tagged ABC|/unit_cost), decision flip-rate (% of reuse/standardize decisions changing under model), first-stage F-stat for IV, and power/MDE values. Experimental setup: for each pilot and synthetic scenario run all methods; perform pre-analysis tests: event-study plots, placebo outcomes and negative controls; require IV first-stage F&gt;10. Ablation studies: (A) disable MNAR correction to measure bias; (B) disable provenance weighting to measure impact on CI width; (C) vary audit fraction (1%, 5%, 10%) used for calibration to quantify calibration sensitivity. Cross-validation: out-of-sample rolling forecasts and holdout months. Report compute time and convergence diagnostics (R-hat and effective sample size) for Bayesian runs.</w:t>
      </w:r>
    </w:p>
    <w:p>
      <w:r>
        <w:t xml:space="preserve"> </w:t>
      </w:r>
    </w:p>
    <w:p>
      <w:pPr>
        <w:pStyle w:val="Heading2"/>
      </w:pPr>
      <w:r>
        <w:t>Risk Factors And Limitations</w:t>
      </w:r>
    </w:p>
    <w:p>
      <w:r>
        <w:t>Data missingness may be MNAR and severe, causing biased estimates. Instruments (ERP rollouts, supplier onboarding) may violate exogeneity and produce invalid IVs. Parallel-trends assumption for DiD may fail due to anticipatory actions. Managerial gaming or retroactive ledger edits may alter data-generating process. Legal or accounting rules may prevent full ledger tagging or rewriting historical records. Small audited samples may yield imprecise calibration of confidence scores. Bayesian joint models may not converge or may require large compute resources for complex hierarchies. Results may not generalize to firms without mature PLM–ERP–MES integration. Privacy and re-identification risk exist for small-cell financial data. Synthetic data may fail to capture all real-world heterogeneity, limiting external validity.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