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shrinkflation_japan_cpi_iv</w:t>
      </w:r>
    </w:p>
    <w:p>
      <w:r>
        <w:t xml:space="preserve"> </w:t>
      </w:r>
    </w:p>
    <w:p>
      <w:pPr>
        <w:pStyle w:val="Heading2"/>
      </w:pPr>
      <w:r>
        <w:t>Title</w:t>
      </w:r>
    </w:p>
    <w:p>
      <w:r>
        <w:t>Instrumental-variable and scanner-data analysis of shrinkflation in Japan and its implications for CPI measurement under rising input costs</w:t>
      </w:r>
    </w:p>
    <w:p>
      <w:r>
        <w:t xml:space="preserve"> </w:t>
      </w:r>
    </w:p>
    <w:p>
      <w:pPr>
        <w:pStyle w:val="Heading2"/>
      </w:pPr>
      <w:r>
        <w:t>Short Hypothesis</w:t>
      </w:r>
    </w:p>
    <w:p>
      <w:r>
        <w:t>Exogenous increases in input costs, proxied by global commodity price shocks interacted with product input-share or by unexpected JPY depreciation, cause firms in Japan to reduce package quantity (shrinkflation) without raising nominal shelf prices, producing increases in unit-value per gram that are incompletely recorded by the official CPI.</w:t>
      </w:r>
    </w:p>
    <w:p>
      <w:r>
        <w:t xml:space="preserve"> </w:t>
      </w:r>
    </w:p>
    <w:p>
      <w:pPr>
        <w:pStyle w:val="Heading2"/>
      </w:pPr>
      <w:r>
        <w:t>Related Work</w:t>
      </w:r>
    </w:p>
    <w:p>
      <w:r>
        <w:t>Existing work uses scanner data, unit-value corrections, hedonic models, and case studies to detect package downsizing and to adjust price indices. Methods fall into two groups: (1) matched-pair or unit-value approaches that compare price per unit before/after changes, and (2) hedonic regressions that control for attributes to impute quality-adjusted prices. Instrumental-variable strategies are rarely combined with product-level input intensities, and behavioral detection research is limited in Japan. Limitations include sparse scanner coverage of some store types and e-commerce, GTIN reuse and relabeling that undermine product continuity, weak instrument concerns when instruments affect demand, limited propagation of matching uncertainty into inference, and little integration of cultural/behavioral evidence into measurement rules. Official CPI practice lacks transparent pipelines for barcode-level unit-value adjustments and publishes few shrink-detection diagnostics.</w:t>
      </w:r>
    </w:p>
    <w:p>
      <w:r>
        <w:t xml:space="preserve"> </w:t>
      </w:r>
    </w:p>
    <w:p>
      <w:pPr>
        <w:pStyle w:val="Heading2"/>
      </w:pPr>
      <w:r>
        <w:t>Abstract</w:t>
      </w:r>
    </w:p>
    <w:p>
      <w:r>
        <w:t>This study quantifies shrinkflation in Japan, identifies its causal drivers, and measures the bias it creates in the consumer price index (CPI). We combine retail scanner panels, CPI microdata, import and commodity-price series, and household expenditure weights. Identification uses instrumental variables that shift marginal costs heterogeneously across products: global commodity-price shocks interacted with ex-ante product input-shares, and unexpected JPY depreciation for import-input intensive SKUs. We detect shrink events by tracking unit-value (JPY per gram/mL), package-quantity metadata, and conservative SKU-linkage heuristics validated by a manual audit. We also run behavioral experiments to measure consumer detection and welfare loss. Main contributions: a pre-registered IV framework tied to product input exposure; an automated, auditable shrink-detection pipeline with quantified matching uncertainty; and an explicit CPI-integration pathway that reports a shrinkflation-gap indicator and simulations of CPI bias. Expected outcomes include causal estimates of cost-driven shrinkflation, validated detection rules, and policy-relevant measures of CPI measurement error.</w:t>
      </w:r>
    </w:p>
    <w:p>
      <w:r>
        <w:t xml:space="preserve"> </w:t>
      </w:r>
    </w:p>
    <w:p>
      <w:pPr>
        <w:pStyle w:val="Heading2"/>
      </w:pPr>
      <w:r>
        <w:t>Methodology</w:t>
      </w:r>
    </w:p>
    <w:p>
      <w:r>
        <w:t>1. Data ingestion and normalization: obtain scanner/POS extracts (GTIN, retailer_SKU, store_id, timestamp, price_paid, price_displayed, units_sold, package_weight/volume, pack_count, promo_flag, product_title, brand, image_links) and CPI microdata and Household Expenditure Survey for weighting. Convert all quantities to grams or milliliters using a conversion table.</w:t>
        <w:br/>
        <w:br/>
        <w:t>2. Master catalog and matching: build a product master keyed by GTIN when present. For missing GTINs compute a continuity score combining title-embedding cosine similarity (text embedding measures how similar titles are), image-hash similarity (numeric similarity of product photos), and package-weight delta (percent difference in declared weight). Set conservative auto-link rules (GTIN match OR high text+image similarity and weight delta ≤5%). Flag borderline cases for manual audit.</w:t>
        <w:br/>
        <w:br/>
        <w:t>3. Unit-value &amp; shrink detection: compute rolling median unit-value (JPY per gram) per linked SKU, adjusting for promotions (promo_flag or transient price drops &gt;5% lasting &lt;14 days). Automatic shrink flag: nominal price change &lt;1% over event window while package quantity decreases ≥5% and unit-value increases ≥2%. Use CUSUM and Bayesian change-point tests to detect abrupt size breaks.</w:t>
        <w:br/>
        <w:br/>
        <w:t>4. Instrument construction and identification: construct instruments: (A) global commodity-price indices interacted with ex-ante input-share vectors (shares of raw material, packaging, transport) per product; (B) unexpected monthly JPY exchange-rate surprises interacted with import-input intensity; (C) freight indices for transport-intensive goods; (D) localized supply shocks as supplementary instruments. Ex-ante input-shares are assembled from customs, industry IO tables, and manufacturer specs.</w:t>
        <w:br/>
        <w:br/>
        <w:t>5. Econometric strategy: run two-stage IV regressions where first stage predicts marginal-cost exposure (instrument × input-share) and second stage estimates effect on binary shrink indicator and on unit-value changes. Pre-register event windows (±24 months), heterogeneity by brand strength and private-label status, and diagnostics: first-stage F, partial R2, Anderson-Rubin bounds, overidentification tests, and placebo leads.</w:t>
        <w:br/>
        <w:br/>
        <w:t>6. Hedonic and CPI rules: estimate semi-log hedonic models of log(unit-price per gram) on log(weight), ingredient flags, pack_count, packaging material, brand and store fixed effects using a rolling 24-month window. Decision rule: if product identity preserved and only size changes (size Δ≥5% and nominal price change &lt;1%) apply unit-value correction; otherwise apply hedonic adjustment or manual review. Document all adjustments and produce a shrinkflation-gap: unit-value growth minus published CPI growth at the elementary level.</w:t>
        <w:br/>
        <w:br/>
        <w:t>7. Manual audit and measurement error: run stratified manual audits (~2,000 cases) using photo standards and a rubric that records continuity judgment and confidence. Estimate false-match rates and propagate matching uncertainty into inference via Monte Carlo resampling over matching draws and SIMEX (a method that simulates extra measurement error to correct bias).</w:t>
        <w:br/>
        <w:br/>
        <w:t>8. Behavioral components: implement (A) online discrete-choice experiment (DCE) varying shrink magnitude and label formats; (B) lab-in-the-field visual salience task measuring detection; (C) optional store-cluster RCT testing unit-price labels or explicit quantity disclosure. Harmonize experimental SKU stimuli with GTINs for external validation.</w:t>
        <w:br/>
        <w:br/>
        <w:t>9. Outputs: shrinkflation event table, validated unit-value series, hedonic coefficients, IV estimates of cost→shrink effects, consumer detection rates, welfare loss per household, and CPI bias simulations.</w:t>
      </w:r>
    </w:p>
    <w:p>
      <w:r>
        <w:t xml:space="preserve"> </w:t>
      </w:r>
    </w:p>
    <w:p>
      <w:pPr>
        <w:pStyle w:val="Heading2"/>
      </w:pPr>
      <w:r>
        <w:t>Experiments</w:t>
      </w:r>
    </w:p>
    <w:p>
      <w:r>
        <w:t>Datasets: (1) scanner panel from 12 months for one major supermarket chain plus additional chains where available; (2) national CPI microdata for same period; (3) Japan Household Expenditure Survey for weighting; (4) monthly global commodity-price indices, freight indices, and monthly JPY exchange-rate series; (5) customs/imports data for input composition; (6) manual audit photos and records; (7) online survey panel for DCE and lab-in-the-field participants.</w:t>
        <w:br/>
        <w:br/>
        <w:t>Baselines: (A) published CPI without adjustments; (B) simple matched-pair unit-value correction (pre/post price-per-gram for matched SKUs); (C) hedonic adjustment without IV; (D) GTIN-only matching.</w:t>
        <w:br/>
        <w:br/>
        <w:t>Evaluation metrics: frequency of shrink events per category; mean percent package-size change; mean unit-value change (JPY/gram); IV estimate of effect of instrument on shrink probability (first-stage F&gt;10, partial R2 reported); AR/LIML bounds; false-match rate and ROC for SKU linkage; consumer detection rate (binary) in experiments; welfare loss per household in JPY; CPI-bias magnitude in percentage points.</w:t>
        <w:br/>
        <w:br/>
        <w:t>Experimental setup: 1) Detection pipeline run on scanner panel to produce candidate shrink events; validate with manual audit sample of N≈2,000 stratified by category and linkage score. 2) IV specification: first stage regress input-share × instrument on contemporaneous marginal-cost proxy and report F-stat; second stage regress shrink_dummy or Δunit_value on predicted cost exposure. Event-study windows: leads at 6,12,24 months and lags up to 12 months. 3) Ablation studies: (a) threshold ablation: run detection with size Δ thresholds {3%,5%,10%} and unit-value rise thresholds {1%,2%,5%}; (b) instrument ablation: run IV with commodity-only, exchange-rate-only, and both; (c) matching ablation: GTIN-only vs continuity-score auto-link vs manual-reviewed. 4) Behavioral experiments: online DCE N=2,500 stratified by age and income to detect 4–6 percentage point choice shifts; lab task N=300 for detection rates; store RCT (if implemented) 40 stores per arm, 3 arms, ICC assumed 0.03, pre/post panel over 8 weeks to detect 5–7 percentage point shifts in large-size share. 5) Power and audit sample: report detectable effect sizes for IV estimates given first-stage partial R2 scenarios (0.02, 0.05, 0.10) and provide sample-size tables; audit sample set to achieve precision on false-match rate ±1.5 percentage points.</w:t>
        <w:br/>
        <w:br/>
        <w:t>Ablation comparison: compare CPI bias computed under (i) no adjustment, (ii) unit-value correction, (iii) hedonic correction, and (iv) hedonic+SIMEX measurement-error correction. Report all metrics with bootstrap confidence intervals that incorporate matching uncertainty.</w:t>
      </w:r>
    </w:p>
    <w:p>
      <w:r>
        <w:t xml:space="preserve"> </w:t>
      </w:r>
    </w:p>
    <w:p>
      <w:pPr>
        <w:pStyle w:val="Heading2"/>
      </w:pPr>
      <w:r>
        <w:t>Risk Factors And Limitations</w:t>
      </w:r>
    </w:p>
    <w:p>
      <w:r>
        <w:t>1. Data access and coverage: incomplete scanner coverage for convenience stores, independents, and e-commerce may bias representativeness. 2. GTIN reuse and relabeling: GTIN reuse or manufacturer relabeling can cause false matches or split series. 3. Measurement error in input-shares: input-share construction from IO tables and customs is noisy and may attenuate first-stage strength. 4. Instrument validity: instruments (commodity prices, exchange-rate) can affect demand indirectly (e.g., tourism, export-driven demand), violating exclusion. 5. Promotions and temporary pack changes: distinguishing temporary promotional pack reductions from permanent shrinkflation is challenging and may confound detection. 6. Manual audit costs and human error: audits are resource-intensive and subject to inter-rater variability. 7. Behavioral external validity: online and lab measures of detection may not generalize fully to in-store behavior across demographics. 8. Scalability and compute: large-scale image, text embedding, and Monte Carlo resampling require substantial compute and storage. 9. Generalization limits: results from Japan's price-sensitive, deflationary context may not transfer to other countries with different retail structures or consumer norms. 10. Legal and contractual constraints: vendor MOUs may restrict fields provided, leading to missing GTINs or product metadata and limiting identification.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