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age_household_inequality_cee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the effect of demographic aging and household type on income inequality in Central and Eastern Europe using harmonized EU-SILC microdata and decomposition plus causal inference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increase in the share of elderly-headed households causes higher equivalized disposable income inequality in Central and Eastern European countries, and this increase is larger in liberal post-socialist welfare states than in corporatist ones, with the effect mediated by greater prevalence of elderly-single households and weaker neo-familial support.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empirical work on aging and inequality typically compares summary inequality statistics (Gini, Theil) over time or across age groups, or uses household-level regressions to link demographics to income. Policy-typology studies classify welfare regimes with cluster or rule-based methods but often rely on small indicator sets or single-year snapshots. Research on household composition emphasizes coresidence and transfers but rarely integrates harmonized cross-country pension measurement or top-tail correction. Limitations across prior approaches include inconsistent treatment of pensions (inclusion/exclusion and coding of notional/private schemes), limited handling of survey top-tail undercoverage, weak treatment of complex household types (skipped-generation, intergenerational complex), inadequate accounting for EU-SILC complex survey design in multiple imputation and inference, and sparse causal identification strategies for policy reforms. Few studies jointly combine household-type interactions, neo-familial mechanisms, robust welfare typologies, and an ensemble uncertainty protocol, leaving open questions about mediation and cross-typology heterogeneity.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demographic aging relates to household-level income inequality across age groups and household types in Central and Eastern Europe between 2005 and 2022. Using harmonized EU-SILC microdata for selected CEE countries, we construct a consistent household taxonomy (elderly-single, elderly-couple, multigenerational, skipped-generation, intergenerational complex) and equivalized disposable incomes. We build a welfare-typology via PCA and clustering on policy indicators and a neo-familial support index from coresidence and private transfer variables. The analysis combines RIF (recentered influence function) regressions, Shapley decompositions, DFL reweighting, and quasi-experimental estimators (Callaway-Sant’Anna, event-study, synthetic control) to estimate effects and mechanisms. We apply top-tail corrections, weight-aware multiple imputation, and an ensemble protocol over pension inclusion, top-tail methods, and typology draws to report robust uncertainty. The main contribution is a reproducible pipeline that isolates how aging and household composition drive inequality and how welfare typology and neo-familial buffering mediate these links, informing policy on pensions, family support, and household vulnerability.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harmonization: load EU-SILC cross-sections for 2005 and 2022 for the confirmed CEE countries. Harmonize household rosters and create household taxonomy: elderly-single (head 65+, size=1), elderly-couple (head/co-head 65+, two adults), multigenerational (head 65+ with adult child 18+), skipped-generation (head 65+ with grandchildren &lt;18 and no middle generation), plus intergenerational complex. Equivalize household disposable income using OECD-modified scale (document alternatives). 2) Pension coding and top-tail: code pension income by source (public DB, private DC, notional DC treated as public by rule); produce datasets including and excluding pensions. Apply top-tail corrections: Pareto, Generalized Trimmed (GT), and Pareto-plus-shrinkage. 3) Missing data: run weight-aware MICE imputations (include sampling weight, strata, PSU or strata indicators) with M=20 imputations. Save diagnostics: trace plots and marginal checks. 4) Neo-familial index: construct composite from coresidence flag, private transfers received, caregiving proxies, and adult-child employment share. Validate with Cronbach's alpha and factor analysis. 5) Welfare typology: standardize policy indicators across years, run PCA to extract continuous score, then apply k-means (k=2,3) and hierarchical clustering; compute bootstrap stability (B=1000) and report cluster uncertainty. PCA explained: principal component analysis reduces many policy indicators to a few summary scores. 6) Inequality and decomposition: compute Gini, Theil, S90/S10, Atkinson at household level and by age×household_type. Use RIF regressions (RIF = recentered influence function; it transforms an inequality statistic into a pseudo-outcome that can be regressed) to estimate associations of age groups, household types, typology and neo-familial index. Run Shapley decompositions and DiNardo–Fortin–Lemieux (DFL) reweighting to apportion 2005→2022 inequality change into demographic composition vs within-group change. 7) Causal inference: compile reform inventory and run Callaway-Sant’Anna group-time ATT estimators and Sun &amp; Abraham event studies for staggered reforms; use synthetic control for single-country shocks. 8) Small-N and rare types: estimate Bayesian multilevel models with partial pooling (weakly informative normal priors) for country and household-type random effects; if cells &lt;50 use pooling. 9) Uncertainty ensemble: prioritize a grid of primary + up to 3 alternatives across income definition (incl/excl pensions), top-tail correction methods, and typology draws; for lead estimates run full ensemble combining M imputations × selected top-tail methods × D typology draws and report median and percentile intervals.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EU-SILC cross-sectional microdata for 2005 and 2022 for Bulgaria, Czechia, Estonia, Croatia, Hungary, Latvia, Lithuania, Poland, Romania, Slovakia, Slovenia; Eurostat/UN WPP margins for raking; national admin aggregates for pension benchmarking. Baselines: (A) descriptive Gini and S90/S10 trends by country and by age group; (B) pooled RIF regression (controls: household size, head gender, education, labor status, region) estimating association of age group and household type with Gini; (C) RIF with triple interaction age_group × household_type × welfare_typology. Models and variants: 1) RIF regressions estimated on each imputed dataset then combined (M=20); inference via PSU cluster bootstrap or replicate weights where available. 2) Shapley decomposition and DFL reweighting comparing 2005→2022. 3) Causal: Callaway-Sant’Anna ATT and event-study for documented reforms; synthetic control for single-country shocks. 4) Bayesian multilevel models for rare household types with weakly informative priors N(0,1) on coefficients and hierarchical SD priors half-Cauchy(0,1). Ablation/comparisons: a) include vs exclude pension income in disposable income; b) top-tail correction none vs Pareto vs GT vs Pareto+shrinkage; c) typology discrete k-means (k=2,3) vs continuous PCA score vs rule-based label; d) neo-familial index included vs excluded as mediator in RIF regressions. Experimental settings: typology bootstrap B=1000 for stability; MI M=20; Bayesian sampling chains 4, iterations 2000, warmup 500. Evaluation metrics: change in Gini (absolute and percent), S90/S10 ratio, Theil between/within shares, RIF regression coefficients with 95% CI, Shapley contribution shares, ATT estimates with 95% CI, posterior credible intervals for Bayesian models. Report primary endpoint: change in national Gini attributable to demographic composition and household-type shifts; secondary endpoints: heterogeneity by welfare typology and mediated share by neo-familial index. Reproducibility: all experiments run with fixed seeds and exact code paths; runtimes estimated and reported for lead-grid vs full ensemble.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 and comparability: EU-SILC country microdata differences and reporting of pension components may cause non-comparable items; administrative benchmarks may be unavailable for some countries. 2) Top-tail uncertainty: income undercoverage at the top and pension reporting errors can bias inequality measures even after correction. 3) Small sample cells: rare household types (skipped-generation) may have very small counts, limiting reliable country×type estimates; Bayesian pooling reduces but does not eliminate this limit. 4) MI and survey design: weight-aware imputation relies on correct model specification; violations can bias imputations. 5) Causal identification: DiD/event methods depend on parallel trends and valid control groups; unobserved selection into household types is a persistent endogeneity risk. 6) Computational cost: full ensemble M × T × D multiplies runtime and may be infeasible for all outcomes; prioritized grids are necessary. 7) Equivalence and PPP choices: sensitivity to equivalence scales and purchasing-power adjustments may affect cross-year comparability. 8) Generalization: results apply to selected CEE countries and the two comparison years; extrapolation to other regions or periods is limited. 9) Measurement tautology: neo-familial mediators that correlate with income (e.g., private transfers) risk tautological mediation unless excluded for specific income definitions.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