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e_waste_dismantling_cf_accounting</w:t>
      </w:r>
    </w:p>
    <w:p>
      <w:r>
        <w:t xml:space="preserve"> </w:t>
      </w:r>
    </w:p>
    <w:p>
      <w:pPr>
        <w:pStyle w:val="Heading2"/>
      </w:pPr>
      <w:r>
        <w:t>Title</w:t>
      </w:r>
    </w:p>
    <w:p>
      <w:r>
        <w:t>A field-based method that links high-resolution facility electricity use to daily dismantling volumes for carbon footprint accounting of e-waste dismantling in China</w:t>
      </w:r>
    </w:p>
    <w:p>
      <w:r>
        <w:t xml:space="preserve"> </w:t>
      </w:r>
    </w:p>
    <w:p>
      <w:pPr>
        <w:pStyle w:val="Heading2"/>
      </w:pPr>
      <w:r>
        <w:t>Short Hypothesis</w:t>
      </w:r>
    </w:p>
    <w:p>
      <w:r>
        <w:t>Matching high-resolution facility electricity measurements to daily batch-level dismantling volumes and using a hybrid deterministic-plus-supervised disaggregation yields process-level carbon emissions estimates with MAPE &lt; 10% for daily process energy and allocation error &lt; 15% (kWh/kg) versus ground-truth allocations.</w:t>
      </w:r>
    </w:p>
    <w:p>
      <w:r>
        <w:t xml:space="preserve"> </w:t>
      </w:r>
    </w:p>
    <w:p>
      <w:pPr>
        <w:pStyle w:val="Heading2"/>
      </w:pPr>
      <w:r>
        <w:t>Related Work</w:t>
      </w:r>
    </w:p>
    <w:p>
      <w:r>
        <w:t>Existing work on e-waste carbon accounting falls into two main groups: top-down national or sector inventories that use aggregated electricity and material flows, and small-scale or laboratory LCA studies that estimate energy or material impacts per product. Prior facility-level measurement studies are rare, and where they exist they either use only main revenue meters (coarse energy allocation) or short-duration spot measurements. Power-disaggregation research in buildings and industry uses event detection, rule-based allocations, and supervised machine learning; however, those methods usually assume well-labeled appliance signatures or steady operating schedules and have limited validation on overlapping, manual, and intermittent industrial tasks like dismantling. Gaps include (1) lack of batch-level linking between energy and material throughput, (2) limited high-frequency metering protocols for industrial transient loads, (3) weak treatment of non-electric Scope-1 sources (fuels, refrigerants) in field studies, and (4) scarce published uncertainty priors and reproducible Monte Carlo workflows for inventory scaling.</w:t>
      </w:r>
    </w:p>
    <w:p>
      <w:r>
        <w:t xml:space="preserve"> </w:t>
      </w:r>
    </w:p>
    <w:p>
      <w:pPr>
        <w:pStyle w:val="Heading2"/>
      </w:pPr>
      <w:r>
        <w:t>Abstract</w:t>
      </w:r>
    </w:p>
    <w:p>
      <w:r>
        <w:t>This study develops and validates a field-based accounting method that precisely attributes electricity use to daily dismantling volumes for five e-waste types (TVs, PCs, mobile phones, refrigerators, printers) to produce process-level carbon footprints for dismantling facilities in China. We combine calibrated submeters on key process clusters, synchronized digital batch logs (unique batch IDs and masses), and time-resolved provincial grid emission factors to create a dismantling-process carbon inventory. Energy allocation uses a hybrid pipeline: deterministic event alignment, constrained optimization that respects mass-proportional priors, and supervised temporal models trained on labeled segments. Non-electric Scope-1 emissions (diesel, refrigerants) are measured or assigned informed priors and included in Monte Carlo uncertainty propagation. Main contributions are (1) a reproducible measurement and ETL schema tying batch-level throughput to electricity, (2) a pre-registered validation protocol with holdout labeled sets and performance targets, and (3) an uncertainty framework for facility-to-national scaling. Expected outcomes are decision-useful carbon intensity estimates per e-waste type with quantified uncertainty and publicly shared code and synthetic data for reproducibility.</w:t>
      </w:r>
    </w:p>
    <w:p>
      <w:r>
        <w:t xml:space="preserve"> </w:t>
      </w:r>
    </w:p>
    <w:p>
      <w:pPr>
        <w:pStyle w:val="Heading2"/>
      </w:pPr>
      <w:r>
        <w:t>Methodology</w:t>
      </w:r>
    </w:p>
    <w:p>
      <w:r>
        <w:t>1) Site selection and instrumentation: choose two pilot sites (one informal small workshop, one medium formal plant). Install revenue meter plus class 0.5 or better submeters on process clusters: manual disassembly area, shredders, separation lines, conveyors/auxiliaries. Use CTs or Rogowski coils for currents. Log at 1 Hz for all channels, 10 Hz for key motors, and triggered high-rate bursts for transients. Record sensor metadata and calibration certificates.</w:t>
        <w:br/>
        <w:br/>
        <w:t>2) Batch-level material logging: enforce a simple digital log per batch with unique batch_id, start_ts, end_ts, mass (kg) via weigh scale or validated per-unit mass table, e_waste_type, operator_id. Optionally collect short consented video clips to strengthen labels.</w:t>
        <w:br/>
        <w:br/>
        <w:t>3) ETL and schema: ingest raw telemetry and batch logs into normalized tables: Facilities, Meters, TimeSeries (timestamp, meter_id, active_power, voltage, quality_flag), Batches, CompositionSamples, CalibrationLogs, EmissionFactors. Keep raw immutable and record provenance.</w:t>
        <w:br/>
        <w:br/>
        <w:t>4) Deterministic matching and constrained allocation: first align batches to meter time windows; assign energy during non-overlap windows directly. For overlapping or shared loads, solve a constrained convex optimization that minimizes squared allocation error subject to non-negativity and mass-proportional priors (kWh/kg priors per process). Explain: constrained optimization means find allocations that best fit measured totals while honoring physical rules.</w:t>
        <w:br/>
        <w:br/>
        <w:t>5) Supervised disaggregation: train supervised models on labeled segments. Use gradient-boosted trees for tabular event features and Temporal Convolutional Networks (TCN) for sequence data. TCNs are neural networks that learn temporal patterns in time series (they look at past and recent samples to predict allocations). Provide minimum labelled-duration targets per process (see Experiments).</w:t>
        <w:br/>
        <w:br/>
        <w:t>6) Validation and holdouts: create a pre-registered labeled holdout set (video-labeled and clamp-checked). Evaluate deterministic baseline, optimization-only, ML-only, and hybrid pipelines on the holdout.</w:t>
        <w:br/>
        <w:br/>
        <w:t>7) Non-electric Scope-1: instrument generators/forklifts with flow meters where possible; record daily fuel logs and weigh refrigerant recoveries. Where measurement is absent, apply pre-specified priors (distributions) and include them in uncertainty.</w:t>
        <w:br/>
        <w:br/>
        <w:t>8) Emissions and uncertainty: apply hourly provincial grid EFs (primary) to process-level kWh by timestamp; add fuel and refrigerant emissions using IPCC GWP. Propagate uncertainty with Monte Carlo (&gt;=10,000 draws) sampling meter error, labeling success, allocation priors, imputation residuals, and EF uncertainty. Report median and 5–95% intervals and an uncertainty decomposition.</w:t>
        <w:br/>
        <w:br/>
        <w:t>9) Reproducibility and governance: containerize ETL and analysis code, publish notebooks that run on a synthetic dataset, and provide anonymized aggregated outputs and a controlled-access raw data plan.</w:t>
      </w:r>
    </w:p>
    <w:p>
      <w:r>
        <w:t xml:space="preserve"> </w:t>
      </w:r>
    </w:p>
    <w:p>
      <w:pPr>
        <w:pStyle w:val="Heading2"/>
      </w:pPr>
      <w:r>
        <w:t>Experiments</w:t>
      </w:r>
    </w:p>
    <w:p>
      <w:r>
        <w:t>1) Datasets:</w:t>
        <w:br/>
        <w:t xml:space="preserve">   - Field pilots: two sites, 4–8 weeks each, continuous telemetry and batch logs. Collect &gt;=30 composition samples per e-waste type per site. Acquire &gt;=100 labeled batches per site with video+clamp-meter verification where possible.</w:t>
        <w:br/>
        <w:t xml:space="preserve">   - Synthetic dataset: generated time-series where true per-batch energy allocations and process signatures are known for reproducibility and ablation.</w:t>
        <w:br/>
        <w:br/>
        <w:t>2) Baselines:</w:t>
        <w:br/>
        <w:t xml:space="preserve">   - Baseline A: naive mass-proportional split of facility daily kWh (kWh/kg proportional to batch mass).</w:t>
        <w:br/>
        <w:t xml:space="preserve">   - Baseline B: deterministic event-alignment only (assign energy during unambiguous non-overlap windows; flag overlaps as unknown).</w:t>
        <w:br/>
        <w:t xml:space="preserve">   - Baseline C: optimization-only (constrained convex allocation without supervised ML).</w:t>
        <w:br/>
        <w:t xml:space="preserve">   - Proposed: hybrid pipeline = deterministic + constrained optimization + supervised ML refinement.</w:t>
        <w:br/>
        <w:br/>
        <w:t>3) Metrics:</w:t>
        <w:br/>
        <w:t xml:space="preserve">   - Energy accuracy: MAPE and RMSE for daily process energy and per-batch allocated kWh.</w:t>
        <w:br/>
        <w:t xml:space="preserve">   - Allocation error: kWh/kg error (mean absolute % and RMSE) per process and overall.</w:t>
        <w:br/>
        <w:t xml:space="preserve">   - Detection/classification: precision, recall, F1 for event/process classification (per-second or per-window labels).</w:t>
        <w:br/>
        <w:t xml:space="preserve">   - Statistical fit: R2 for predicted vs true allocations.</w:t>
        <w:br/>
        <w:t xml:space="preserve">   - Uncertainty calibration: coverage probability of 90% credible intervals and continuous ranked probability score (CRPS).</w:t>
        <w:br/>
        <w:br/>
        <w:t>4) Held-out evaluation:</w:t>
        <w:br/>
        <w:t xml:space="preserve">   - Holdout split: reserve 20% of labeled batches per site for testing. Also perform leave-one-site-out cross-site validation.</w:t>
        <w:br/>
        <w:t xml:space="preserve">   - Minimum labeled-duration targets: require at least 10 hours of labeled data per primary process (manual disassembly, shredding, separation) per site and at least 100 start/stop events per process across training set.</w:t>
        <w:br/>
        <w:br/>
        <w:t>5) Ablations and sensitivity:</w:t>
        <w:br/>
        <w:t xml:space="preserve">   - Ablation 1: remove high-frequency transient bursts from training to measure impact on event detection.</w:t>
        <w:br/>
        <w:t xml:space="preserve">   - Ablation 2: remove mass-proportional priors from optimization.</w:t>
        <w:br/>
        <w:t xml:space="preserve">   - Ablation 3: vary EF variant: hourly provincial average (primary), dispatch-derived marginal (sensitivity), and annual-average EF.</w:t>
        <w:br/>
        <w:t xml:space="preserve">   - Ablation 4: vary Monte Carlo priors CVs for kWh/kg to test sensitivity of inventory uncertainty.</w:t>
        <w:br/>
        <w:br/>
        <w:t>6) Experimental setup:</w:t>
        <w:br/>
        <w:t xml:space="preserve">   - Train models on labeled training split, tune hyperparameters via cross-validation within training set.</w:t>
        <w:br/>
        <w:t xml:space="preserve">   - Evaluate all methods on held-out test set and report metrics aggregate by e-waste type and per-site.</w:t>
        <w:br/>
        <w:t xml:space="preserve">   - Run Monte Carlo uncertainty propagation (&gt;=10,000 iterations) for final inventory outputs and report median + 5–95% intervals.</w:t>
        <w:br/>
        <w:br/>
        <w:t>7) Acceptance criteria:</w:t>
        <w:br/>
        <w:t xml:space="preserve">   - Target achieved if hybrid pipeline yields MAPE &lt; 10% for daily process energy and allocation error &lt; 15% (kWh/kg) on held-out test and coverage of 90% intervals close to nominal.</w:t>
      </w:r>
    </w:p>
    <w:p>
      <w:r>
        <w:t xml:space="preserve"> </w:t>
      </w:r>
    </w:p>
    <w:p>
      <w:pPr>
        <w:pStyle w:val="Heading2"/>
      </w:pPr>
      <w:r>
        <w:t>Risk Factors And Limitations</w:t>
      </w:r>
    </w:p>
    <w:p>
      <w:r>
        <w:t>1) Access and consent: facilities, especially informal ones, may refuse intrusive instrumentation or video logging, reducing labeled data and representativeness. 2) Meter failure or data loss: logger faults, communication loss, or calibration drift can create gaps and biased allocations. 3) Label noise: operator logs and video labels can be incomplete or inconsistent, lowering supervised model quality. 4) Overlapping and concurrent processes: heavy overlap of process loads can make disaggregation ill-posed and increase allocation uncertainty. 5) Model drift: operational changes (new equipment, production rate changes) can degrade supervised model performance over time. 6) Emission factor uncertainty: provincial hourly EFs or marginal EF estimates may be unavailable or inaccurate, adding systemic error to CO2e results. 7) Limited scalability: pilot-derived priors may not generalize across diverse provinces, facility sizes, or informal practices. 8) Privacy and disclosure risk: detailed telemetry may risk re-identification of facilities or operators despite anonymization. 9) Cost constraints: submeters, high-rate loggers, and labelled-data collection are resource intensive, limiting sample size. 10) No mitigation strategies are listed here; these issues constrain inference, bias tests, and national extrapolation.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