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purpose_renewal_mixedmethods</w:t>
      </w:r>
    </w:p>
    <w:p>
      <w:r>
        <w:t xml:space="preserve"> </w:t>
      </w:r>
    </w:p>
    <w:p>
      <w:pPr>
        <w:pStyle w:val="Heading2"/>
      </w:pPr>
      <w:r>
        <w:t>Title</w:t>
      </w:r>
    </w:p>
    <w:p>
      <w:r>
        <w:t>A mixed-methods systematic review and multi-design causal study of how corporate purpose influences firm strategic renewal</w:t>
      </w:r>
    </w:p>
    <w:p>
      <w:r>
        <w:t xml:space="preserve"> </w:t>
      </w:r>
    </w:p>
    <w:p>
      <w:pPr>
        <w:pStyle w:val="Heading2"/>
      </w:pPr>
      <w:r>
        <w:t>Short Hypothesis</w:t>
      </w:r>
    </w:p>
    <w:p>
      <w:r>
        <w:t>Increasing a firm's embedded and clear corporate purpose causes a subsequent increase in strategic renewal activity, and this effect is mediated by increased managerial attention.</w:t>
      </w:r>
    </w:p>
    <w:p>
      <w:r>
        <w:t xml:space="preserve"> </w:t>
      </w:r>
    </w:p>
    <w:p>
      <w:pPr>
        <w:pStyle w:val="Heading2"/>
      </w:pPr>
      <w:r>
        <w:t>Related Work</w:t>
      </w:r>
    </w:p>
    <w:p>
      <w:r>
        <w:t>Prior work splits across three main streams: (1) strategy and renewal studies that measure renewal by R&amp;D, new products, or restructuring but rarely measure firm purpose directly; (2) corporate purpose/mission literatures that define and describe purpose dimensions but provide limited causal tests linking purpose to firm outcomes; and (3) managerial cognition and identity work showing how attention and identity shape firm change but often using small qualitative samples. Limitations across these approaches include fragmentation (separate literatures with little integration), measurement heterogeneity (diverse, noncomparable purpose and renewal metrics), weak causal identification (predominantly cross-sectional or correlational designs), limited multilingual and reproducible NLP approaches for extracting purpose from text, and sparse mediation tests connecting purpose → cognition → renewal. These gaps leave mechanisms under-tested and hinder pooled quantitative synthesis.</w:t>
      </w:r>
    </w:p>
    <w:p>
      <w:r>
        <w:t xml:space="preserve"> </w:t>
      </w:r>
    </w:p>
    <w:p>
      <w:pPr>
        <w:pStyle w:val="Heading2"/>
      </w:pPr>
      <w:r>
        <w:t>Abstract</w:t>
      </w:r>
    </w:p>
    <w:p>
      <w:r>
        <w:t>This project maps and tests the causal relationship between corporate purpose and strategic renewal using a reproducible mixed-methods program. First, we run a systematic literature review and bibliometric mapping to identify patterns and gaps. Second, we create a preregistered four-dimension taxonomy of purpose (clarity, prescriptiveness, normative orientation, embeddedness) and build a multilingual annotated text corpus to extract purpose indices from corporate filings and CEO communications using validated NLP features. Third, we implement a multi-design causal strategy: staggered difference-in-differences, event studies, instrumental variables based on staggered regulation, and synthetic controls, combined with multilevel causal mediation analysis to test managerial attention as the mediator. The main contribution is an integrated, openly reproducible pipeline that harmonizes heterogeneous renewal measures, provides validated text-based purpose measures, and delivers robust causal estimates of purpose effects across time windows. Expected outcomes include validated measurement tools, ranked evidence of causal effects, and a pre-registered research agenda for practitioners and scholars.</w:t>
      </w:r>
    </w:p>
    <w:p>
      <w:r>
        <w:t xml:space="preserve"> </w:t>
      </w:r>
    </w:p>
    <w:p>
      <w:pPr>
        <w:pStyle w:val="Heading2"/>
      </w:pPr>
      <w:r>
        <w:t>Methodology</w:t>
      </w:r>
    </w:p>
    <w:p>
      <w:r>
        <w:t>1) Systematic review and mapping: run reproducible searches in Scopus, Web of Science, ABI/INFORM, PsycINFO, and SSRN; export raw records and deduplicate by DOI then fuzzy title+author; produce bibliometric co-citation and topic maps. 2) Taxonomy and codebook: use the four purpose dimensions (clarity, prescriptiveness, normative orientation, embeddedness) with observable indicators (CEO letter presence, beneficiary phrases, governance KPIs, budget lines). 3) Gold-standard annotation: dual-annotate a stratified corpus (pilot n≈200, target n≈900–1,200) across English, Spanish, French, German, Chinese; adjudicate disagreements; measure Cohen’s kappa and per-class F1. (Cohen’s kappa is a measure of agreement between annotators; F1 balances precision and recall, where precision is fraction of correct positive predictions and recall is fraction of true positives found.) 4) NLP extraction: build multilingual dictionaries and features (agent→goal phrase patterns, beneficiary proximity, tf-idf, topic scores, moral framing, section headers). Train classifiers on embeddings (compact sentence embeddings) and calibrate thresholds to achieve per-class F1≥0.80 before automated scaling. 5) Construct purpose indices: combine model scores and manual codes into standardized scales per dimension and an overall embedded-purpose score. 6) Data linkage: merge purpose indices to firm-level panel data (financials, R&amp;D, patents, product announcements, restructuring events) with firm identifiers and time stamps. 7) Causal designs: pre-register staggered DiD (Callaway–Sant’Anna), event-study lead/lag plots, IV strategy using staggered regulatory adoption (e.g., benefit-corp statutes or reporting mandates) as instrument, and synthetic control for single high-impact cases. Require first-stage F&gt;10 for IVs and non-significant pre-trends for DiD. 8) Mediation: estimate causal mediation with temporally ordered measures (purpose at t0, attention at t1, renewal at t2) using multilevel structural equation models; report direct, indirect, and total effects with clustered standard errors. 9) Meta-analysis: harmonize heterogeneous effects into standardized metrics (standardized change scores, Hedges’ g, or event-count rate ratios) and run multilevel random-effects meta-analyses with publication-bias checks. 10) Reproducibility: preregister search strings, dedup rules, codebook, hyperparameters, and deliver all scripts and cleaned data artifacts on OSF/GitHub with version control.</w:t>
      </w:r>
    </w:p>
    <w:p>
      <w:r>
        <w:t xml:space="preserve"> </w:t>
      </w:r>
    </w:p>
    <w:p>
      <w:pPr>
        <w:pStyle w:val="Heading2"/>
      </w:pPr>
      <w:r>
        <w:t>Experiments</w:t>
      </w:r>
    </w:p>
    <w:p>
      <w:r>
        <w:t>Datasets: (A) Bibliographic corpus from Scopus/WoS/ABI export for literature mapping. (B) Firm text corpus: annual reports, CEO letters, mission pages, earnings-call transcripts, regulatory filings for ~5,000 firm-years across multiple countries and languages. (C) Firm panel outcomes: Compustat/Orbis-level financials, R&amp;D intensity, patent counts (Patstat), product launch announcements (databases or press releases), restructuring event indicators, and new business model entries scraped from filings. (D) Regulatory event panel: dates and jurisdictions of benefit-corp adoptions and mandatory non-financial reporting rollouts. Baselines: (1) no-purpose model (outcomes regressed on controls only); (2) bag-of-words purpose index baseline; (3) survey-only measure baseline (where available). Evaluation metrics: NLP — precision, recall, F1, Cohen’s kappa for human vs automated codes; causal — average treatment effect on treated (ATT) and standardized effect sizes (Cohen’s d or Hedges’ g), first-stage F-statistics (IV), pre-trend p-values and joint F tests (DiD), I2 and tau-squared (meta-analysis heterogeneity). Experimental setup: 1) Validate NLP on holdout annotated set and report per-dimension F1≥0.80 before scaling. 2) Causal tests: pre-register primary estimator = Callaway–Sant’Anna staggered DiD with firm and year fixed effects, clustering at firm level; event windows pre-specified as short (3–12 months), medium (12–24 months), long (24–48 months). 3) IV tests: use staggered regulatory adoption as instrument; require first-stage F&gt;10; run Sargan/Hansen over-identification where applicable. 4) Synthetic control: for up to 10 high-impact firm events, construct donor pools and report gap plots. 5) Mediation: estimate multilevel mediation with purpose(t0) → attention(t1) → renewal(t2), report indirect effect and bootstrap CIs. 6) Ablation studies: (a) remove embeddedness from purpose index and compare ATT; (b) compare multilingual model vs English-only model; (c) compare text-only purpose index vs survey-derived purpose measures in subsample. 7) Robustness: permutation inference, placebo dates, nearest-neighbor matched DiD (caliper 0.1), and sensitivity bounds (Rosenbaum bounds) for unobserved confounding. Pre-registration: all outcomes labeled primary or secondary and all windows fixed prior to estimation. Sample and power: report MDE calculations for each estimator and require minimum samples as pre-registered before interpretation.</w:t>
      </w:r>
    </w:p>
    <w:p>
      <w:r>
        <w:t xml:space="preserve"> </w:t>
      </w:r>
    </w:p>
    <w:p>
      <w:pPr>
        <w:pStyle w:val="Heading2"/>
      </w:pPr>
      <w:r>
        <w:t>Risk Factors And Limitations</w:t>
      </w:r>
    </w:p>
    <w:p>
      <w:r>
        <w:t>1) Annotation resource risk: multilingual gold annotation may be delayed or underfunded; model performance may vary by language. 2) Measurement bias: text-based purpose indices may misclassify rhetorical vs operational purpose, producing measurement error. 3) Causal identification limits: instruments (regulatory adoption) may violate exclusion if laws affect renewal through channels other than purpose disclosure; DiD may fail if parallel trends violated. 4) Data linkage and coverage: firm-level linking across text sources and financial databases may be incomplete, biasing sample toward larger firms and English-language filings. 5) Outcome heterogeneity: strategic renewal is multi-faceted; harmonization into comparable effect sizes may lose nuanced differences. 6) Statistical power: multilevel mediation requires large clustered samples; underpowered tests risk false negatives. 7) Generalization limits: results may not generalize across industries, countries, or private firms with sparse filings. 8) Computational limits: large-scale NLP and synthetic control analyses need compute and storage; limited compute could constrain model complexity or corpus size. 9) Ethical and legal constraints: NDAs, proprietary filings, and IRB restrictions may limit public data sharing and reproducibility of some firm-level panels.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