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qianyang_lulc_esv_plus</w:t>
      </w:r>
    </w:p>
    <w:p>
      <w:r>
        <w:t xml:space="preserve"> </w:t>
      </w:r>
    </w:p>
    <w:p>
      <w:pPr>
        <w:pStyle w:val="Heading2"/>
      </w:pPr>
      <w:r>
        <w:t>Title</w:t>
      </w:r>
    </w:p>
    <w:p>
      <w:r>
        <w:t>Quantifying the impact of land use and land cover change on ecosystem service value in Qianyang County using PLUS-model scenario simulation and spatial statistics</w:t>
      </w:r>
    </w:p>
    <w:p>
      <w:r>
        <w:t xml:space="preserve"> </w:t>
      </w:r>
    </w:p>
    <w:p>
      <w:pPr>
        <w:pStyle w:val="Heading2"/>
      </w:pPr>
      <w:r>
        <w:t>Short Hypothesis</w:t>
      </w:r>
    </w:p>
    <w:p>
      <w:r>
        <w:t>By 2050, a PLUS-modeled Development scenario will reduce total county-wide ecosystem services value (ESV) by more than 10% relative to a Business-As-Usual (BAU) PLUS scenario for Qianyang County.</w:t>
      </w:r>
    </w:p>
    <w:p>
      <w:r>
        <w:t xml:space="preserve"> </w:t>
      </w:r>
    </w:p>
    <w:p>
      <w:pPr>
        <w:pStyle w:val="Heading2"/>
      </w:pPr>
      <w:r>
        <w:t>Related Work</w:t>
      </w:r>
    </w:p>
    <w:p>
      <w:r>
        <w:t>Prior studies combine remote-sensing LULC mapping, ecosystem service valuation via benefit-transfer, and land-change simulation models. Common approaches produce per-class ESV maps using static per-hectare coefficients and evaluate spatial patterns with Moran's I or hotspot analysis. Land-change models such as cellular automata and patch-based simulators (including PLUS) are used to create future scenarios. Limitations in current work include weak propagation of LULC classification uncertainty into ESV estimates, limited testing of alternative local scaling rules for benefit-transfer coefficients (e.g., using NPP or precipitation), inadequate treatment of cultural services and their high uncertainty, sparse hindcast validation of scenario models, and inconsistent handling of spatial dependence and MAUP (modifiable areal unit problem) in regression inference. Also, many studies report point estimates without formal Monte Carlo convergence diagnostics or full ensemble summaries, reducing reproducibility and policy credibility.</w:t>
      </w:r>
    </w:p>
    <w:p>
      <w:r>
        <w:t xml:space="preserve"> </w:t>
      </w:r>
    </w:p>
    <w:p>
      <w:pPr>
        <w:pStyle w:val="Heading2"/>
      </w:pPr>
      <w:r>
        <w:t>Abstract</w:t>
      </w:r>
    </w:p>
    <w:p>
      <w:r>
        <w:t>This study measures how land use and land cover (LULC) change affects ecosystem service value (ESV) in Qianyang County by integrating high-resolution 30 m LULC time series (2007–2022), spatial statistical analysis, and PLUS-model scenario simulation to 2050. We produce temporally consistent per-pixel LULC maps with classification probabilities, derive local ESV coefficients from published baselines adjusted by biophysical scalers (NPP, precipitation, soil organic carbon), and propagate uncertainty with a hybrid Monte Carlo scheme (expectation-based draws plus categorical validation draws). Spatial methods (global/local Moran’s I, Getis-Ord Gi*, spatial regressions, and GWR) quantify clustering and drivers of ESV change. PLUS ensembles simulate BAU, Development, and Conservation futures with published numeric rules and sensitivity sweeps. Expected contributions include (1) a reproducible pipeline linking LULC uncertainty to ESV ensembles, (2) an ESV sensitivity matrix comparing scaling rules, and (3) validated PLUS hindcasts and 2050 scenario ensembles that produce probabilistic hotspot maps for policy use. Results will inform transparent, spatially explicit land management decisions under quantified uncertainty.</w:t>
      </w:r>
    </w:p>
    <w:p>
      <w:r>
        <w:t xml:space="preserve"> </w:t>
      </w:r>
    </w:p>
    <w:p>
      <w:pPr>
        <w:pStyle w:val="Heading2"/>
      </w:pPr>
      <w:r>
        <w:t>Methodology</w:t>
      </w:r>
    </w:p>
    <w:p>
      <w:r>
        <w:t>1) LULC mapping and uncertainty: Preprocess Landsat (and Sentinel-2 where available) images for 2007–2022. Train a Random Forest classifier (an ensemble of decision trees) to produce annual 30 m LULC maps and per-pixel class probability vectors. Validate with stratified random samples and spatially blocked cross-validation. If class accuracy &lt;85% after improvements, merge rare/confused classes per a documented fallback. (Random Forest: a machine learning method that averages many decision trees to reduce overfitting.)</w:t>
        <w:br/>
        <w:br/>
        <w:t>2) ESV coefficient assembly and scaling: Use Xie et al. as baseline per-ha coefficients, supplement with Costanza/InVEST where needed. Produce three local scaling formulas: (A) NPP ratio scaling: coeff_local = coeff_base × (NPP_local / NPP_provincial); (B) precipitation ratio scaling: coeff_base × (P_local / P_provincial); (C) SOC ratio scaling: coeff_base × (SOC_local / SOC_provincial). Also create hybrid weighted combinations (e.g., 0.6×NPP + 0.4×precipitation). Document years, units and sources for every coefficient.</w:t>
        <w:br/>
        <w:br/>
        <w:t>3) Uncertainty propagation (Monte Carlo): Primary method: expectation-based draws where per-pixel ESV = sum_over_classes[p_class × sampled_coeff]. Sample coefficient distributions (log-normal) with class-specific CVs. Run 5,000 iterations and monitor convergence (running mean % change, CI stabilization, and effective sample size analog). Validation subset: 500 full stochastic categorical draws where pixel class is sampled from RF probabilities each iteration.</w:t>
        <w:br/>
        <w:br/>
        <w:t>4) Spatial analysis and inference: For each time slice compute Global Moran’s I and Getis-Ord Gi* (hotspots). Fit spatial regression families: OLS baseline, SAR (spatial lag), SEM (spatial error), and spatial panel models for temporal data; apply GWR (geographically weighted regression) to detect local nonstationarity. Pre-register instruments (e.g., distance to pre-2000 infrastructure) for IV tests if endogeneity suspected. Use spatially blocked CV for model assessment.</w:t>
        <w:br/>
        <w:br/>
        <w:t>5) PLUS modelling and scenarios: Build 30 m suitability layers (distance to roads/towns, elevation, slope, NPP, population, protected masks). Calibrate PLUS with LEAS driver ranking and CARS parameters using 2007–2014 train / 2014–2022 validation splits and spatial blocking. Define numeric scenario rules (BAU = historical rates; Development = urban suitability ×1.5 within 5 km of roads/towns, caps; Conservation = exclusion masks, +5% forest target). Run ensembles sampling patch_min, seed_rate, neighborhood parameters (100 members per scenario). Produce per-pixel class-probability stacks.</w:t>
        <w:br/>
        <w:br/>
        <w:t>6) Integration and outputs: For each PLUS ensemble member compute expectation-based ESV ensembles using the Monte Carlo coefficient draws. Produce median, p5/p95, SD rasters, hotspot persistence maps (count of ensemble members exceeding thresholds) and township-level summaries. Store provenance and publish reproducible pipeline (Snakemake + containers + DVC).</w:t>
      </w:r>
    </w:p>
    <w:p>
      <w:r>
        <w:t xml:space="preserve"> </w:t>
      </w:r>
    </w:p>
    <w:p>
      <w:pPr>
        <w:pStyle w:val="Heading2"/>
      </w:pPr>
      <w:r>
        <w:t>Experiments</w:t>
      </w:r>
    </w:p>
    <w:p>
      <w:r>
        <w:t>Datasets: 30 m LULC time series 2007–2022 (derived from Landsat/Sentinel), NPP raster (time-matched), mean annual precipitation rasters, SOC raster, elevation/slope, population density, nighttime lights, road/town vector layers, protected-area masks, local crop yield and forestry statistics, and household survey results for provisioning/cultural proxies.</w:t>
        <w:br/>
        <w:br/>
        <w:t>Baselines: (A) Simple benefit-transfer ESV using unscaled per-class coefficients (no uncertainty); (B) expectation-based ESV with coefficients but ignoring LULC probability (deterministic class map); (C) InVEST-based ecosystem valuation run as alternate comparator.</w:t>
        <w:br/>
        <w:br/>
        <w:t>Evaluation metrics: LULC: per-class user/producer accuracy, overall accuracy, Kappa, FoM for change areas, AUC for binary transitions. ESV: total county ESV change (%) between epochs and scenarios, spatial RMSE between hindcasted and observed ESV, coverage of 90% CI for known validation aggregates, hotspot overlap (Jaccard) for top 10% ESV pixels. Spatial models: R2, RMSE, residual Moran’s I (permutation p-value), and IV first-stage F-statistic (&gt;10 target).</w:t>
        <w:br/>
        <w:br/>
        <w:t>Experimental setup: 1) LULC classification: train on 2007–2014, validate on 2015–2022; blocked k-fold CV (k=5) for robustness. 2) PLUS hindcast: calibrate on 2007→2014 and simulate to 2022, compare to observed 2022 LULC; report FoM, AUC, and landscape-metric parity (patch size distribution, edge density). 3) Monte Carlo: run 5,000 expectation iterations and 500 categorical validation draws; check convergence (running mean change &lt;0.5% over final 500 draws). 4) Spatial inference: run SAR, SEM and spatial panel models on a stratified sample of 500 Monte Carlo ESV realizations to produce empirical coefficient distributions. 5) Ablation studies: (i) Compare scaling formulas (NPP, precipitation, SOC, hybrid) and report percent change in total ESV and hotspot shifts; (ii) Compare expectation vs categorical MC approaches for ESV uncertainty statistics; (iii) Exclude cultural services vs include with priors to measure their effect on totals and CI widths; (iv) Compare SAR vs SEM vs GWR in explanatory power and residual spatial autocorrelation.</w:t>
        <w:br/>
        <w:br/>
        <w:t>Reporting: Publish per-scenario ensemble summaries (median, p5/p95, SD), hindcast validation metrics, a sensitivity matrix for scaling rules, and reproducible code/environment to reproduce key experiments.</w:t>
      </w:r>
    </w:p>
    <w:p>
      <w:r>
        <w:t xml:space="preserve"> </w:t>
      </w:r>
    </w:p>
    <w:p>
      <w:pPr>
        <w:pStyle w:val="Heading2"/>
      </w:pPr>
      <w:r>
        <w:t>Risk Factors And Limitations</w:t>
      </w:r>
    </w:p>
    <w:p>
      <w:r>
        <w:t>1) Monte Carlo convergence risk: spatial aggregates may require more draws than planned; diagnostics may indicate need for &gt;5,000 iterations. 2) LULC classification errors: misclassification or low accuracy for rare classes can bias ESV; class merges change results. 3) Temporal mismatch: biophysical covariates (NPP, precipitation, SOC) may not perfectly align temporally with LULC epochs, causing bias. 4) Cultural services: monetization and priors for cultural services are highly uncertain and may dominate CI width. 5) Endogeneity and spatial dependence: causal inference may remain limited if valid instruments are weak. 6) PLUS hindcast limitations: imperfect FoM/AUC in hindcast reduces confidence in 2050 projections. 7) Compute and storage constraints: ensemble MC and PLUS ensembles require substantial CPU and storage; limited resources may force coarser ensembles. 8) Generalization: methods and scaling choices tuned to Qianyang County may not transfer to other regions without recalibration. 9) MAUP: aggregation choice (30 m, 1 km, township) affects statistical results and policy interpretation.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