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postarthro_dvt_motivation_scale</w:t>
      </w:r>
    </w:p>
    <w:p>
      <w:r>
        <w:t xml:space="preserve"> </w:t>
      </w:r>
    </w:p>
    <w:p>
      <w:pPr>
        <w:pStyle w:val="Heading2"/>
      </w:pPr>
      <w:r>
        <w:t>Title</w:t>
      </w:r>
    </w:p>
    <w:p>
      <w:r>
        <w:t>Development and validation of a protection motivation theory based scale to measure motivation for postdischarge deep vein thrombosis prophylaxis in hip and knee arthroplasty patients</w:t>
      </w:r>
    </w:p>
    <w:p>
      <w:r>
        <w:t xml:space="preserve"> </w:t>
      </w:r>
    </w:p>
    <w:p>
      <w:pPr>
        <w:pStyle w:val="Heading2"/>
      </w:pPr>
      <w:r>
        <w:t>Short Hypothesis</w:t>
      </w:r>
    </w:p>
    <w:p>
      <w:r>
        <w:t>Lower scores on the developed protection‑motivation‑theory (PMT) based motivation scale cause higher probability of objective nonadherence (pharmacy proportion of days covered &lt;80%) within 8 weeks after hospital discharge in hip and knee arthroplasty patients.</w:t>
      </w:r>
    </w:p>
    <w:p>
      <w:r>
        <w:t xml:space="preserve"> </w:t>
      </w:r>
    </w:p>
    <w:p>
      <w:pPr>
        <w:pStyle w:val="Heading2"/>
      </w:pPr>
      <w:r>
        <w:t>Related Work</w:t>
      </w:r>
    </w:p>
    <w:p>
      <w:r>
        <w:t>Prior work has adapted Protection Motivation Theory (PMT) to measure motivational drivers of medication adherence and produced candidate scales for postoperative patients. Existing studies commonly rely on small samples, single‑site data, or only self‑reported adherence, limiting generalizability and criterion validity. Many prior scales report Cronbach alpha and simple factor models but do not apply modern test theory (item response theory, IRT) or robust invariance/DIF testing across treatment subgroups (direct oral anticoagulants vs low molecular weight heparin, hip vs knee) and modes (paper vs electronic). Short forms are rarely evaluated for information retention across clinically relevant trait ranges. Objective adherence anchors (pharmacy PDC, electronic monitors, biological assays) are inconsistently used, and procedures for handling local dependence, threshold disordering, and mode effects are often absent. These gaps leave unresolved issues about item functioning, measurement invariance, and clinical cutpoint defensibility.</w:t>
      </w:r>
    </w:p>
    <w:p>
      <w:r>
        <w:t xml:space="preserve"> </w:t>
      </w:r>
    </w:p>
    <w:p>
      <w:pPr>
        <w:pStyle w:val="Heading2"/>
      </w:pPr>
      <w:r>
        <w:t>Abstract</w:t>
      </w:r>
    </w:p>
    <w:p>
      <w:r>
        <w:t>We propose to develop and validate a Protection Motivation Theory (PMT) based instrument that measures patients' motivation for postdischarge deep vein thrombosis (DVT) prophylaxis after hip or knee arthroplasty. Using mixed methods, we will generate items from literature, patient interviews, and expert review, then evaluate content validity and readability. Psychometric testing will proceed in a multisite cross‑sectional sample (target N≈450) split for exploratory and confirmatory analyses. We will apply factor analysis (polychoric correlations, parallel analysis), graded response IRT to assess item discrimination and information, and IRT‑based DIF testing across key subgroups. Objective adherence (pharmacy proportion of days covered, PDC) and MEMS electronic monitoring will be used as anchors for criterion validity and ROC‑based cutpoints. Deliverables include a calibrated full scale, a short form that retains ≥80% test information over the clinically relevant trait range, scoring tables (sum and IRT theta), and implementation guidance for clinical triage. Expected outcome: a validated, interpretable instrument usable for screening and guiding adherence interventions after arthroplasty.</w:t>
      </w:r>
    </w:p>
    <w:p>
      <w:r>
        <w:t xml:space="preserve"> </w:t>
      </w:r>
    </w:p>
    <w:p>
      <w:pPr>
        <w:pStyle w:val="Heading2"/>
      </w:pPr>
      <w:r>
        <w:t>Methodology</w:t>
      </w:r>
    </w:p>
    <w:p>
      <w:r>
        <w:t>1) Item generation: compile candidate items mapped to PMT domains (severity, vulnerability, response efficacy, self-efficacy, response costs, maladaptive rewards, intention) using literature review, semi-structured patient interviews, and clinician expert input. 2) Content validity: obtain item‑level content validity index (I‑CVI) from ≥6 experts; retain items with I‑CVI ≥0.78 or revise and re‑rate. 3) Cognitive testing: perform think‑aloud interviews (10–15 patients) to ensure ≤6th grade reading level and clear time anchors (e.g., "since discharge"), revise wording. 4) Field survey: recruit N≈450 postoperative patients across sites, include consent for pharmacy linkage and optional MEMS/anti‑Xa substudies. Split sample: EFA n≈250, CFA n≈200; test–retest subsample n≈70 (7–14 days). 5) Exploratory factor analysis (EFA): compute polychoric correlation matrix, run parallel analysis to decide factor count, use principal axis factoring with oblique rotation (allows correlated factors), retain items with primary loading ≥0.40, cross‑loading &lt;0.30, communality ≥0.30; stop when factors have 3–6 items and content coverage preserved. Explanation: polychoric correlations estimate relationships for ordered categories; oblique rotation allows factors to correlate. 6) Confirmatory factor analysis (CFA): use WLSMV estimator for ordinal data; report CFI, TLI, RMSEA, SRMR with primary targets CFI/TLI ≥0.95, RMSEA ≤0.06, SRMR ≤0.08. 7) IRT calibration: fit graded response model (GRM) for ordered responses; evaluate discrimination (a) parameters, flag items with a&lt;0.80 (pragmatic graded rule: a≥0.80 retain; 0.50–0.79 revise; &lt;0.50 remove), assess threshold ordering (thresholds are cutpoints between response categories), and produce item/test information curves. 8) DIF and invariance: use IRT‑based logistic regression and multiple‑group CFA to detect uniform/non‑uniform DIF across subgroups (age, sex, hip vs knee, DOAC vs LMWH); flag items with p&lt;0.001 after FDR and pseudo‑R2 change ≥0.02 or expected score difference &gt;0.5 SD. 9) Local dependence and fit: assess local dependence via Yen’s Q3 or residual correlations; consider content‑based bundling or item removal for pairs with high local dependence. 10) Scoring and short form: generate summed subscale scores and GRM theta scores; create short form by selecting DIF‑free, high‑information items that together retain ≥80% of test information across theta ≈ −1.5 to +1.5. 11) Criterion validity and cutpoints: compute pharmacy PDC (adherent PDC≥80%, 7‑day grace window) as primary anchor; use ROC analysis to derive cutpoints with bootstrapped CIs and prioritize sensitivity ≈0.80 for triage; compare summed vs IRT theta prediction. 12) Reporting: produce scoring tables, SEs, T‑score transformations, and annotated analysis scripts.</w:t>
      </w:r>
    </w:p>
    <w:p>
      <w:r>
        <w:t xml:space="preserve"> </w:t>
      </w:r>
    </w:p>
    <w:p>
      <w:pPr>
        <w:pStyle w:val="Heading2"/>
      </w:pPr>
      <w:r>
        <w:t>Experiments</w:t>
      </w:r>
    </w:p>
    <w:p>
      <w:r>
        <w:t>Dataset: multisite convenience sample of adults discharged after primary hip or knee arthroplasty, prescribed prophylactic anticoagulation for ≥14 days; target N=450 total (EFA n≈250, CFA n≈200), test–retest n≈70, MEMS subset 10–15% (DOAC users preferred), optional anti‑Xa substudy n=40–60 (LMWH). Baselines: MMAS‑8 self‑report adherence scale and basic demographic/clinical covariates. Evaluation metrics: EFA factor loadings, communalities; CFA fit indices CFI, TLI, RMSEA, SRMR; internal consistency Cronbach’s alpha and McDonald’s omega; test–retest ICC(2,1); IRT discrimination (a) and item information; local dependence statistics (Yen’s Q3); DIF p‑values and pseudo‑R2 change; ROC AUC, sensitivity, specificity, Youden index, bootstrapped 95% CIs for cutpoints; predictive calibration (Brier score) and net benefit (decision curve). Experimental setup: 1) EFA on polychoric matrix with parallel analysis to choose factors; apply retention thresholds primary loading ≥0.40, cross‑loading &lt;0.30, communality ≥0.30. 2) CFA (WLSMV) on holdout sample; test alternative models including correlated factors, bifactor, and exploratory structural equation modeling (ESEM); report Δ fit. 3) Fit GRM to full calibrated item set; compute discrimination a and item/test information. 4) DIF: run IRT logistic regression and multiple‑group CFA for age (&lt;65 vs ≥65), sex, joint type, and anticoagulant; declare problematic DIF at p&lt;0.001 and pseudo‑R2≥0.02. 5) Short form ablation: create short form by selecting top items by information and content coverage; compare full vs short form on AUC for predicting PDC&lt;80%, and percent test information retained; requirement: short form retains ≥80% information over theta range. 6) Scoring comparison: compare summed subscale scores vs IRT theta as predictors of PDC using logistic regression adjusted for covariates; report ORs, calibration, and AUC. 7) Sensitivity analyses: complete‑case vs multiple imputation (ordinal MICE) vs person‑mean scoring (≤20% missing rule); report stability of factor structure and prediction. 8) Ablation: remove items with a&lt;0.50 and re-evaluate scale reliability, fit, and predictive performance to quantify impact of low‑discrimination items.</w:t>
      </w:r>
    </w:p>
    <w:p>
      <w:r>
        <w:t xml:space="preserve"> </w:t>
      </w:r>
    </w:p>
    <w:p>
      <w:pPr>
        <w:pStyle w:val="Heading2"/>
      </w:pPr>
      <w:r>
        <w:t>Risk Factors And Limitations</w:t>
      </w:r>
    </w:p>
    <w:p>
      <w:r>
        <w:t>1) Causality limit: observational cross‑sectional design constrains causal inference despite hypothesis phrasing. 2) DIF power: subgroup sizes (≥150) detect moderate DIF but underpowered for small DIF; small differential item functioning may remain undetected. 3) Adherence measurement error: pharmacy PDC may miss primary nonfills, inpatient adjustments, and informal doses; MEMS and anti‑Xa are partial and optional validations with limited sample sizes. 4) Local dependence and response style: correlated item wording or reverse‑keyed items may produce local dependence or method factors affecting fit. 5) Threshold disordering: respondents may not use ordered response categories as intended, requiring category collapse that reduces granularity. 6) Generalizability: sample drawn from specific hospitals and languages may limit external validity to other settings or cultures. 7) Missing data: higher than expected missingness may bias estimates and reduce power; person‑mean imputation has limits. 8) Technical and logistical constraints: MEMS devices, claims linkage, and anti‑Xa assays increase cost and may limit participation; data governance/consent issues may reduce available objective adherence data. 9) Short form compromise: reducing items to meet information targets may omit clinically relevant but low‑discrimination items, limiting content breadth.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