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tradeoff_merton_wacc</w:t>
      </w:r>
    </w:p>
    <w:p>
      <w:r>
        <w:t xml:space="preserve"> </w:t>
      </w:r>
    </w:p>
    <w:p>
      <w:pPr>
        <w:pStyle w:val="Heading2"/>
      </w:pPr>
      <w:r>
        <w:t>Title</w:t>
      </w:r>
    </w:p>
    <w:p>
      <w:r>
        <w:t>Integrating Fernandez cost-of-leverage and Merton structural credit models to compute optimal bank capital under liquidity premia</w:t>
      </w:r>
    </w:p>
    <w:p>
      <w:r>
        <w:t xml:space="preserve"> </w:t>
      </w:r>
    </w:p>
    <w:p>
      <w:pPr>
        <w:pStyle w:val="Heading2"/>
      </w:pPr>
      <w:r>
        <w:t>Short Hypothesis</w:t>
      </w:r>
    </w:p>
    <w:p>
      <w:r>
        <w:t>For a given bank and country characteristics (asset volatility, short-term debt share, tax rate, and liquidity conditions), increasing the equity-to-asset ratio up to a single optimal level causally lowers the bank's weighted average cost of capital (WACC) by reducing default probability and liquidity premium, while increases beyond that level raise WACC due to lost debt tax shields and higher equity cost.</w:t>
      </w:r>
    </w:p>
    <w:p>
      <w:r>
        <w:t xml:space="preserve"> </w:t>
      </w:r>
    </w:p>
    <w:p>
      <w:pPr>
        <w:pStyle w:val="Heading2"/>
      </w:pPr>
      <w:r>
        <w:t>Related Work</w:t>
      </w:r>
    </w:p>
    <w:p>
      <w:r>
        <w:t>Two strands address bank capital choices: trade-off corporate finance models (which balance tax shields against distress costs) and structural credit models (Merton-style) that map market prices to default probabilities. Trade-off models often treat distress costs loosely and rarely quantify liquidity premia explicitly. Merton and structural approaches recover asset risk and default probabilities from equity and debt prices but assume simple debt and liquid markets, which is unrealistic for banks with short-term rollovers and multi-tranche debt. Reduced-form intensity models capture default timing and may include liquidity factors but do not directly link equity choice to WACC or tax-shield trade-offs. Empirical identification of liquidity premia typically uses event studies or CDS-bond bases but struggles with thin markets and endogeneity of guarantees. The gap is a unified, operational framework that (a) maps equity changes into WACC using Fernandez adjustments and Merton-implied credit spreads, and (b) identifies residual liquidity premia credibly across banks and crises.</w:t>
      </w:r>
    </w:p>
    <w:p>
      <w:r>
        <w:t xml:space="preserve"> </w:t>
      </w:r>
    </w:p>
    <w:p>
      <w:pPr>
        <w:pStyle w:val="Heading2"/>
      </w:pPr>
      <w:r>
        <w:t>Abstract</w:t>
      </w:r>
    </w:p>
    <w:p>
      <w:r>
        <w:t>We address how banks' equity choices affect their funding cost by combining a trade-off corporate finance perspective with structural credit pricing. The approach embeds Fernandez-style cost-of-leverage adjustments into a Merton inversion framework: recover asset value and volatility from market data, compute risk-neutral default probabilities and credit spreads, and treat the residual between observed spreads and model credit spreads as a liquidity premium. Cost of equity is mapped from asset beta using a CAPM baseline with robustness to multi-factor and option-implied alternatives. The main contribution is a transparent WACC decomposition that quantifies marginal benefits (lower failure probability and liquidity premium) against marginal costs (lost tax shields and higher equity charges), and a numerical solver that finds the optimal equity-to-asset ratio across bank and country characteristics. Expected outcomes include calibrated optimal-capital schedules, welfare-relevant policy counterfactuals, and validated identification strategies for liquidity premia under thin markets and crisis episodes.</w:t>
      </w:r>
    </w:p>
    <w:p>
      <w:r>
        <w:t xml:space="preserve"> </w:t>
      </w:r>
    </w:p>
    <w:p>
      <w:pPr>
        <w:pStyle w:val="Heading2"/>
      </w:pPr>
      <w:r>
        <w:t>Methodology</w:t>
      </w:r>
    </w:p>
    <w:p>
      <w:r>
        <w:t>1) Model setup: represent bank assets A_t as a stochastic process (geometric Brownian motion) with volatility sigma; equity is a call option on assets (Merton view). Explain: geometric Brownian motion means asset value evolves with random shocks; equity-as-call means shareholders absorb downside after debt. 2) Merton inversion: use observed equity prices and equity volatility to numerically solve for asset value A and sigma. This recovers risk-neutral default probability p_Q from model formulas. 3) Fernandez adjustment: write the bank-level cost-of-leverage as the Fernandez function extended by adding a liquidity premium term lambda; algebraically define WACC(ell,t) = w_D*(r_f + credit_spread_Q(ell,t) + lambda(ell,s,t,c))*(1 - tau_eff) + w_E*r_E(ell,t). Explain terms: w_D and w_E are debt and equity weights; credit_spread_Q from Merton; tau_eff is effective tax rate. 4) Cost of equity r_E: baseline CAPM r_E = r_f + beta_E(ell,t)*ERP_t with beta_E derived from asset beta and leverage; provide alternatives (Fama–French, option-implied). 5) Identification of lambda: compute lambda = observed_spread - credit_spread_Q. Estimate causal variation using event-study IV: instrument = Post_announcement × Eligible_bank. Provide placebo and lead tests and a Bayesian shrinkage blend for thin markets where market signals are weak. 6) Numerical solve: implement robust solver for optimal leverage ell* that minimizes WACC or a social-welfare objective; use bracketing + safeguarded Newton or Brent and supply analytic gradients when available. 7) Robustness: run Monte Carlo perturbations (jump-diffusion, fat tails, accounting noise, discrete debt tranches) and alternative debt models (Black-Cox). 8) Deliverables: versioned code, unit tests, notebooks that reproduce inversion, spread decomposition, lambda estimation, and ell* computation.</w:t>
      </w:r>
    </w:p>
    <w:p>
      <w:r>
        <w:t xml:space="preserve"> </w:t>
      </w:r>
    </w:p>
    <w:p>
      <w:pPr>
        <w:pStyle w:val="Heading2"/>
      </w:pPr>
      <w:r>
        <w:t>Experiments</w:t>
      </w:r>
    </w:p>
    <w:p>
      <w:r>
        <w:t>Datasets: bank equity prices and implied volatilities (exchange data), CDS mid-spreads (Markit/ICE), traded bond yields and TRACE transaction-level data, supervisory/accounting panels (Orbis/BankFocus, national supervisors), and country liquidity indicators (TED–OIS, FX-swap spreads, central bank facility dates). Time coverage: 2000–2024 monthly or higher frequency where available. Baselines: (A) Fernandez-only trade-off using accounting PDs; (B) Merton-only structural WACC where lambda=0; (C) reduced-form intensity model with liquidity covariates; (D) full integrated Fernandez+Merton+lambda (proposed). Alternative r_E estimators: CAPM baseline, Fama–French 3/5-factor, option-implied returns. Procedures: 1) For each bank-period, perform Merton inversion to get A,sigma and compute credit_spread_Q. 2) Compute lambda residuals = observed_spread - credit_spread_Q. 3) Estimate causal effect of instruments on lambda using panel IV: lambda_it = alpha + beta*(Post_t × Eligible_i) + bank FE + country×time FE. First-stage and overidentification tests reported. 4) Solve for ell* minimizing WACC under baseline and counterfactual subsidy g grids. 5) Bootstrap (1,000 draws) parameter uncertainty to obtain CIs for ell*. 6) Ablation studies: (i) set lambda=0 to measure liquidity effect; (ii) swap r_E estimator to test sensitivity; (iii) replace Merton with Black-Cox barrier model to test debt realism. Evaluation metrics: WACC change at ell*, change in default probability, PD calibration (Brier score, ROC/AUC), first-stage F-stat, instrument placebo p-values, Sobol sensitivity indices for ell* drivers, and welfare delta (social objective). Comparative outputs: tables of ell*, WACC, default PDs and CIs for each baseline and ablation, and backtest of predicted PDs over 1–3 year horizons including crisis windows (2007–09, 2011–12, 2020).</w:t>
      </w:r>
    </w:p>
    <w:p>
      <w:r>
        <w:t xml:space="preserve"> </w:t>
      </w:r>
    </w:p>
    <w:p>
      <w:pPr>
        <w:pStyle w:val="Heading2"/>
      </w:pPr>
      <w:r>
        <w:t>Risk Factors And Limitations</w:t>
      </w:r>
    </w:p>
    <w:p>
      <w:r>
        <w:t>1) Merton misspecification: bank debt is multi-tranche, short-term and subject to runs; simple Merton assumptions (single maturity, continuous trading) may bias A and p_Q estimates. 2) Thin markets: sparse CDS or bond trading leads to noisy observed_spread and weak identification of lambda. 3) Instrument validity: Post×Eligibility may violate exclusion if announcements affect risk-taking or are correlated with other policy changes; this threatens causal claims. 4) Endogeneity of deposit insurance g: g may co-move with shocks and central bank actions, biasing estimates if treated as exogenous. 5) Data coverage and harmonization: cross-country accounting differences and limited supervisory access restrict sample size and comparability. 6) Computational costs: Monte Carlo robustness with jump models and emulators can be compute-intensive for large cross-sections. 7) Generalization limits: results calibrated on available markets may not transfer to small or emerging-market banks with different funding structures. 8) Welfare mapping uncertainty: converting bank-failure probabilities into real-economy costs relies on external elasticities and assumptions that add uncertainty to policy conclusions.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