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sustained_satisfaction_revenue</w:t>
      </w:r>
    </w:p>
    <w:p>
      <w:r>
        <w:t xml:space="preserve"> </w:t>
      </w:r>
    </w:p>
    <w:p>
      <w:pPr>
        <w:pStyle w:val="Heading2"/>
      </w:pPr>
      <w:r>
        <w:t>Title</w:t>
      </w:r>
    </w:p>
    <w:p>
      <w:r>
        <w:t>Estimating sustained causal effects of baseline customer satisfaction on individual bank revenue growth using panel fixed effects and instrumental variables</w:t>
      </w:r>
    </w:p>
    <w:p>
      <w:r>
        <w:t xml:space="preserve"> </w:t>
      </w:r>
    </w:p>
    <w:p>
      <w:pPr>
        <w:pStyle w:val="Heading2"/>
      </w:pPr>
      <w:r>
        <w:t>Short Hypothesis</w:t>
      </w:r>
    </w:p>
    <w:p>
      <w:r>
        <w:t>A one-tier increase in baseline customer satisfaction causes a positive and sustained increase in an individual customer's bank revenue over the subsequent four years.</w:t>
      </w:r>
    </w:p>
    <w:p>
      <w:r>
        <w:t xml:space="preserve"> </w:t>
      </w:r>
    </w:p>
    <w:p>
      <w:pPr>
        <w:pStyle w:val="Heading2"/>
      </w:pPr>
      <w:r>
        <w:t>Related Work</w:t>
      </w:r>
    </w:p>
    <w:p>
      <w:r>
        <w:t>Prior work shows positive correlations between customer satisfaction and firm revenues and suggests nonlinear effects across satisfaction tiers. Typical studies use firm- or branch-level aggregates, short follow-up windows, or cross-sectional survey links, which leave open reverse causality and unobserved heterogeneity concerns. Existing causal attempts often rely on single estimators (e.g., simple fixed effects or OLS) without jointly addressing measurement error in survey responses, probabilistic record linkage, attrition bias, and dynamic persistence of revenue. Many papers report average effects but do not quantify heterogeneity across pre-specified satisfaction tiers or provide sustained impulse-response estimates across multiple years. Limitations include weak instrumentation, incomplete propagation of linkage and measurement uncertainty, inadequate pre-trend/placebo testing for dynamics, and limited power calculations for subgroup nonlinear tests.</w:t>
      </w:r>
    </w:p>
    <w:p>
      <w:r>
        <w:t xml:space="preserve"> </w:t>
      </w:r>
    </w:p>
    <w:p>
      <w:pPr>
        <w:pStyle w:val="Heading2"/>
      </w:pPr>
      <w:r>
        <w:t>Abstract</w:t>
      </w:r>
    </w:p>
    <w:p>
      <w:r>
        <w:t>This study estimates whether baseline customer satisfaction causally affects individual bank revenue growth and whether such effects persist over one to four years and vary across satisfaction tiers. Using linked survey responses and objective bank records for 19,060 Swedish retail customers, the analysis combines individual fixed-effect panel models with pre-specified dynamic estimators and instrumental-variable checks to address unobserved heterogeneity and reverse causality. The contribution is a reproducible workflow that jointly propagates survey measurement error and probabilistic linkage uncertainty, pre-registers tiered nonlinear tests and mediation channels, and reports horizon-specific ATT estimates and cumulative impulse responses. Expected outcomes include precise estimates of absolute and percent revenue uplift per tier, formal tests of sustained versus transient effects, diagnostics of identification validity, and MDE tables for policy-relevant targeting and pilot design. Results will produce interpretable CLV uplift and ROI metrics for operational decisions while making code and synthetic data available for replication.</w:t>
      </w:r>
    </w:p>
    <w:p>
      <w:r>
        <w:t xml:space="preserve"> </w:t>
      </w:r>
    </w:p>
    <w:p>
      <w:pPr>
        <w:pStyle w:val="Heading2"/>
      </w:pPr>
      <w:r>
        <w:t>Methodology</w:t>
      </w:r>
    </w:p>
    <w:p>
      <w:r>
        <w:t>1) Data preparation and linkage: create a deterministic core from exact ID matches, then run probabilistic linkage (Fellegi–Sunter) on remaining records. Calibrate match scores against a stratified clerical gold sample and produce multiple imputed link sets sampled from match probabilities. (Probabilistic linkage means scoring pairs by how likely they are true matches; clerical sample means manual checks to calibrate those scores.) 2) Measurement modeling: estimate a latent satisfaction factor using CFA or IRT to obtain factor-score draws and reliability (McDonald’s omega). Use Bayesian draws (posterior samples) and SIMEX (simulation-extrapolation for measurement error) for robustness. (CFA/IRT means modeling the survey responses as reflecting an underlying satisfaction trait.) 3) Primary estimation: run individual fixed-effects (FE) panels with calendar time FE to estimate horizon-specific ATT: Revenue_{i,t+k} = α_i + δ_{t+k} + β·f(S_{i,t}) + X_{i,t}γ + ε_{i,t+k}, for k=1..4. Use baseline-only S_t as main exposure to avoid contemporaneous feedback. 4) Dynamics and robustness: fit bias-corrected LSDV for dynamic panels and use Arellano-Bond / system-GMM as sensitivity checks when lagged revenue persistence is high. (LSDV bias-correction reduces small-sample bias in panels; GMM uses moment conditions for dynamic panels.) 5) IV strategy and vetting: consider interviewer identity, randomized survey wave, and scheduling/workload shocks as instruments; pre-specify tests: first-stage F&gt;10, partial R², balance SMDs&lt;0.10, no pre-period revenue association, placebo outcomes, and overidentification tests. 6) Nonlinearity and tiers: use pre-specified tiers (5-point or 0–10 NPS rules), restricted cubic splines with knots at sample tertiles, and sup-Wald threshold tests; estimate discrete tier contrasts and quantile regressions on ΔRevenue. 7) Mediation: estimate sequential g-estimation or longitudinal SEM with lagged mediators (retention, cross-sell, balances, fees) and report mediated fractions and bounds when confounding is plausible. 8) Uncertainty propagation and pooling: run the full estimator across ≥20 linkage imputations and ≥30 factor-score draws per imputation; pool frequentist estimates via Rubin’s rules and report Bayesian posterior intervals where available. 9) Attrition and diagnostics: implement inverse-probability weights from response propensity models, report Lee bounds, run event-study lead checks and placebo regressions, and produce MDE/power tables. 10) Inference: cluster standard errors at customer, apply wild-cluster bootstrap if clusters are few, and report raw and adjusted p-values per pre-registered multiplicity rules.</w:t>
      </w:r>
    </w:p>
    <w:p>
      <w:r>
        <w:t xml:space="preserve"> </w:t>
      </w:r>
    </w:p>
    <w:p>
      <w:pPr>
        <w:pStyle w:val="Heading2"/>
      </w:pPr>
      <w:r>
        <w:t>Experiments</w:t>
      </w:r>
    </w:p>
    <w:p>
      <w:r>
        <w:t>Datasets: primary linked dataset of 19,060 Swedish retail survey respondents with bank transaction records covering baseline year t and outcomes at t+1..t+4; clerical gold sample N=1,000 stratified by match-score band for linkage calibration. Baselines: (A) pooled OLS on raw satisfaction; (B) individual FE using raw survey score; (C) individual FE using latent factor-score (measurement-corrected); (D) bias-corrected LSDV dynamic panel; (E) Arellano-Bond/system-GMM; (F) IV estimates using interviewer/wave/workload instruments; (G) Bayesian joint latent-outcome model. Evaluation metrics: horizon-specific ATT in absolute euros and percent, 95% confidence intervals, p-values, first-stage F and partial R² for IV, standardized mean differences (SMD) on pre-treatment covariates, lead/placebo test statistics, MDE tables (80%/90% power) under attrition scenarios (10/25/40%), and E-values/Oster bounds for unobserved confounding. Experimental setup: 1) Preprocess timestamps and build panel Revenue_{i,year} aggregates and covariates X_{i,t}; 2) generate ≥20 probabilistic link imputations and ≥30 factor-score draws per imputation; 3) for each (link_imputation, factor_draw) run estimators A–G and store estimates; 4) pool estimates via Rubin’s rules and report pooled SEs and Bayesian posteriors where available; 5) run event-study regressions with leads up to four pre-period years and joint pre-trend F-tests; 6) IV vetting: report first-stage F, partial R², SMDs and conduct placebo regressions on unrelated outcomes; 7) Ablations: (i) deterministic link vs probabilistic pooled links, (ii) raw score vs latent score vs SIMEX-corrected, (iii) tiers discrete contrasts vs spline modeling, (iv) include vs exclude branch×time FE; 8) Sensitivity: IPW and Lee bounds for attrition, E-value/Oster bounds for confounding, LIML/Fuller(1) and Anderson-Rubin CIs when IV weak. Comparison study: report FE (measurement-corrected) as primary baseline and compare to IV (if instrument qualifies) and dynamic estimators to evaluate consistency and LATE vs ATT differences. All specification choices and thresholds are pre-registered before running analyses.</w:t>
      </w:r>
    </w:p>
    <w:p>
      <w:r>
        <w:t xml:space="preserve"> </w:t>
      </w:r>
    </w:p>
    <w:p>
      <w:pPr>
        <w:pStyle w:val="Heading2"/>
      </w:pPr>
      <w:r>
        <w:t>Risk Factors And Limitations</w:t>
      </w:r>
    </w:p>
    <w:p>
      <w:r>
        <w:t>1) Measurement error: latent modeling may not fully capture single-item noise or non-invariance across waves. 2) Linkage error: probabilistic matches may leave residual false positives/negatives that bias estimates despite multiple imputations. 3) Weak instruments: interviewer or scheduling instruments may fail first-stage strength, yielding imprecise or invalid LATE estimates. 4) Unobserved confounding: fixed effects cannot remove time-varying omitted variables that simultaneously affect satisfaction and future revenue. 5) Informative attrition: responders may differ systematically from nonresponders, causing selection bias that IPW or Lee bounds may not fully resolve. 6) Dynamics mis-specification: incorrect dynamic model (lags/decay) may misrepresent persistence and causal timing. 7) Small-cluster inference: few branches or few high-level clusters may make cluster-robust SEs unreliable. 8) Generalizability: results from 19,060 Swedish retail customers may not generalize to other countries, bank types, or time periods. 9) Zeros and entrants: customers with zero revenue or truncated observation windows complicate growth definitions and may bias percent-change measures. 10) Computational cost: joint Bayesian models and many imputations/draws increase compute time and complexity for replication. 11) Mediation limits: mediator–outcome confounding may prevent clean decomposition of channels, limiting causal claims about mechanisms.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