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intergen_mobility_mothers_latam</w:t>
      </w:r>
    </w:p>
    <w:p>
      <w:r>
        <w:t xml:space="preserve"> </w:t>
      </w:r>
    </w:p>
    <w:p>
      <w:pPr>
        <w:pStyle w:val="Heading2"/>
      </w:pPr>
      <w:r>
        <w:t>Title</w:t>
      </w:r>
    </w:p>
    <w:p>
      <w:r>
        <w:t>Estimating parental contributions to intergenerational education and income rank mobility in five Latin American countries using joint parental education and occupation with descriptive rank–rank analysis and Shapley decompositions</w:t>
      </w:r>
    </w:p>
    <w:p>
      <w:r>
        <w:t xml:space="preserve"> </w:t>
      </w:r>
    </w:p>
    <w:p>
      <w:pPr>
        <w:pStyle w:val="Heading2"/>
      </w:pPr>
      <w:r>
        <w:t>Short Hypothesis</w:t>
      </w:r>
    </w:p>
    <w:p>
      <w:r>
        <w:t>Higher maternal education causally increases a child's educational rank more than an equivalent increase in maternal occupational status, conditional on observed parental characteristics.</w:t>
      </w:r>
    </w:p>
    <w:p>
      <w:r>
        <w:t xml:space="preserve"> </w:t>
      </w:r>
    </w:p>
    <w:p>
      <w:pPr>
        <w:pStyle w:val="Heading2"/>
      </w:pPr>
      <w:r>
        <w:t>Related Work</w:t>
      </w:r>
    </w:p>
    <w:p>
      <w:r>
        <w:t>Existing approaches to measuring intergenerational mobility typically use single parental indicators (father or mother) or single proxies (education or occupation) and rely on rank–rank regressions, transition matrices, and variance decompositions. Methods for attribution include incremental R2 and Shapley value decompositions to allocate explained variance to predictors. Measurement‑error literature has applied SIMEX and errors‑in‑variables models to schooling and earnings, while harmonization work has developed ISCED/ISCO crosswalks and occupational status indices (ISEI, SIOPS). Limitations remain: (1) few studies jointly use both parents' education and occupations as a family proxy across multiple countries; (2) crosswalk inconsistency and undocumented mappings create unquantified misclassification; (3) many analyses do not fully propagate measurement‑error uncertainty into decompositions; (4) studies rarely prespecify minimum cell sizes, pooling rules, or robust MNAR sensitivity checks for parental absence; (5) causal leverage in Latin America is underused and often lacks detailed first‑stage and exclusion‑restriction diagnostics.</w:t>
      </w:r>
    </w:p>
    <w:p>
      <w:r>
        <w:t xml:space="preserve"> </w:t>
      </w:r>
    </w:p>
    <w:p>
      <w:pPr>
        <w:pStyle w:val="Heading2"/>
      </w:pPr>
      <w:r>
        <w:t>Abstract</w:t>
      </w:r>
    </w:p>
    <w:p>
      <w:r>
        <w:t>This project measures intergenerational mobility in education and income rank across Brazil, Chile, Ecuador, Mexico, and Panama by jointly using parental education and occupational status as family socioeconomic proxies and by documenting how these proxies’ informativeness varies across countries and cohorts with attention to mothers. We construct within‑country cohort‑and‑sex percentile ranks for child outcomes and parental inputs, estimate descriptive rank–rank slopes, and allocate explained variance using Shapley decompositions. To address measurement error and harmonization uncertainty we implement dual‑coded ISCO/ISCED crosswalks with concordance flags, apply SIMEX and a Bayesian hierarchical errors‑in‑variables model, and report best/worst crosswalk bounds. We preregister minimum sample and pooling rules, IPW and multiple‑imputation treatment of missing parental data, and candidate quasi‑experimental levers (schooling reforms, conditional cash transfers, sibling fixed effects) for causal checks. Expected outcomes are robust, comparable estimates of maternal and paternal contributions to rank mobility, uncertainty‑aware decompositions, and reproducible harmonized code and aggregated public outputs for policy and research use.</w:t>
      </w:r>
    </w:p>
    <w:p>
      <w:r>
        <w:t xml:space="preserve"> </w:t>
      </w:r>
    </w:p>
    <w:p>
      <w:pPr>
        <w:pStyle w:val="Heading2"/>
      </w:pPr>
      <w:r>
        <w:t>Methodology</w:t>
      </w:r>
    </w:p>
    <w:p>
      <w:r>
        <w:t>1) Data assembly: collect microdata waves that record parental education and parental occupation for cohorts born 1970–1995 in the five countries (examples: Brazil PNAD/POF/census, Chile CASEN/census, Mexico ENIGH/ENOE, Ecuador ENEMDU, Panama household surveys). 2) Harmonization and crosswalks: map local education to ISCED and occupations to ISCO; produce two granularities (detailed and broad). Dual‑code a random &gt;=10% occupational subsample and log coder agreements (Cohen’s kappa). Flag low‑confidence mappings. 3) Rank construction: compute percentile ranks within country × 5‑year birth‑cohort × sex for education and income. Use mid‑rank for ties. Income ranks built on individual earnings or equivalized household income mapped to individuals; baseline age window 30–60. 4) Baseline estimators: estimate OLS rank–rank regressions: ChildRank = alpha + beta_f FatherRank + beta_m MotherRank + X'gamma + epsilon. Also estimate quantile regressions and construct transition matrices. 5) Attribution: compute Shapley value decomposition of R2 to allocate contribution among father education, mother education, father occupation, mother occupation. 6) Measurement‑error corrections: calibrate classical error variance from dual coding; apply SIMEX correction; implement a Bayesian hierarchical EIV model that accepts crosswalk confidence flags (higher uncertainty for low‑confidence codes) and outputs posterior distributions for coefficients and Shapley shares. 7) Missingness and selection: impute missing parental values with MICE including rich auxiliaries; estimate selection propensity p-hat for parental info observed and compute stabilized IPW = survey_weight / p-hat (trim extreme weights at 99th percentile). 8) Income corrections: top‑code using Pareto tail imputation, CPI/PPP adjust to base year, and construct permanent income via age‑earnings profiles. 9) Inference: use survey variance estimators appropriate per dataset (Taylor linearization or replicate weights); combine uncertainty across imputations via Rubin’s rules and propagate additional uncertainty from SIMEX/Bayesian EIV by Monte Carlo pooling. 10) Causal checks (prespecified): map candidate instruments per country, require first‑stage F&gt;10, run sibling fixed effects where feasible, and report IV estimates with falsification tests.</w:t>
      </w:r>
    </w:p>
    <w:p>
      <w:r>
        <w:t xml:space="preserve"> </w:t>
      </w:r>
    </w:p>
    <w:p>
      <w:pPr>
        <w:pStyle w:val="Heading2"/>
      </w:pPr>
      <w:r>
        <w:t>Experiments</w:t>
      </w:r>
    </w:p>
    <w:p>
      <w:r>
        <w:t>Datasets: Brazil (PNAD 1981–2015, Continuous PNAD, POF, censuses), Chile (CASEN 1987+, censuses), Mexico (ENIGH, ENOE, censuses), Ecuador (ENEMDU, censuses), Panama (household surveys, censuses). Pilot country: Brazil or Chile for a 4–8 week test. Baselines: (A) father‑only OLS rank–rank; (B) mother‑only OLS rank–rank; (C) joint parents OLS rank–rank; (D) joint parents + occupations; (E) joint parents with PCA composite SES. Metrics: ΔR2 (increase in R2 from single to joint models), Shapley shares of R2, rank–rank slopes β_f and β_m with SEs, Cohen’s kappa for dual coding, minimum detectable effect tables (MDE) per cell, first‑stage F‑stat for IVs, and width of posterior credible intervals from Bayesian EIV. Experimental steps: 1) Harmonize and dual‑code &gt;=10% random occupational subsample; compute kappa by code and by country. 2) Construct ranks and run baselines A–E; report ΔR2 and Shapley shares. 3) Measurement‑error ablation: compare uncorrected estimates vs SIMEX corrected vs Bayesian EIV outputs. 4) Crosswalk bounds ablation: run best‑case and worst‑case occupation mappings and report changes in coefficients and Shapley shares. 5) Missingness ablation: compare complete‑case, MICE‑imputed, and IPW‑weighted estimates. 6) Cohort/time analysis: run models by 5‑year cohorts and compute Oaxaca–Blinder decompositions of cohort differences. 7) Causal checks: for each mapped instrument run IV regressions, report first‑stage F, local‑average treatment effect (LATE), and balance/falsification tests. Minimum reporting rules: only report cell estimates where N&gt;=1,000 (else present pooled estimates), always show MDE and kappa for that cell.</w:t>
      </w:r>
    </w:p>
    <w:p>
      <w:r>
        <w:t xml:space="preserve"> </w:t>
      </w:r>
    </w:p>
    <w:p>
      <w:pPr>
        <w:pStyle w:val="Heading2"/>
      </w:pPr>
      <w:r>
        <w:t>Risk Factors And Limitations</w:t>
      </w:r>
    </w:p>
    <w:p>
      <w:r>
        <w:t>1) Measurement error nonclassicality: occupation misclassification may differ by informant, sex, cohort, or country and may not be fully corrected by SIMEX; dual coding may not capture systematic biases. 2) Missing data MNAR: parental absence or nonreporting may be driven by unobserved factors correlated with child outcomes; IPW and MICE may not fully remove bias. 3) Small cell sizes: disaggregated cohort×sex cells may lack power, forcing pooling that masks heterogeneity. 4) Instrument validity: proposed quasi‑experimental levers may violate exclusion restrictions or have weak first stages in some countries. 5) Life‑cycle bias: chosen income age windows may not capture permanent income accurately across cohorts. 6) Harmonization limits: ISCED/ISCO crosswalks may lose local nuances (informal occupations, credential quality) reducing comparability. 7) Computational cost: Bayesian hierarchical EIV models and Monte Carlo propagation can be computationally heavy for large samples. 8) DUA/data access: legal constraints may limit replication and require synthetic or aggregated public releases that reduce transparency. 9) Generalizability: results apply to observed cohorts and countries and may not extend to other regions or younger cohorts.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