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ecb_climate_bank_eventstudy</w:t>
      </w:r>
    </w:p>
    <w:p>
      <w:r>
        <w:t xml:space="preserve"> </w:t>
      </w:r>
    </w:p>
    <w:p>
      <w:pPr>
        <w:pStyle w:val="Heading2"/>
      </w:pPr>
      <w:r>
        <w:t>Title</w:t>
      </w:r>
    </w:p>
    <w:p>
      <w:r>
        <w:t>An event-study analysis of the effect of ECB climate-related announcements on European banks' stock returns</w:t>
      </w:r>
    </w:p>
    <w:p>
      <w:r>
        <w:t xml:space="preserve"> </w:t>
      </w:r>
    </w:p>
    <w:p>
      <w:pPr>
        <w:pStyle w:val="Heading2"/>
      </w:pPr>
      <w:r>
        <w:t>Short Hypothesis</w:t>
      </w:r>
    </w:p>
    <w:p>
      <w:r>
        <w:t>ECB climate-related supervisory or strategy announcements cause contemporaneous abnormal stock returns for European banks in the [0,+1] trading day window.</w:t>
      </w:r>
    </w:p>
    <w:p>
      <w:r>
        <w:t xml:space="preserve"> </w:t>
      </w:r>
    </w:p>
    <w:p>
      <w:pPr>
        <w:pStyle w:val="Heading2"/>
      </w:pPr>
      <w:r>
        <w:t>Related Work</w:t>
      </w:r>
    </w:p>
    <w:p>
      <w:r>
        <w:t>Prior work uses event-study methods to measure how policy or sustainability news affects firm equity values, and several studies report that central bank or supervisory climate communications are associated with statistically significant stock reactions and that greener firms often benefit more. Existing approaches rely on market-model or factor-model abnormal returns and sometimes use simple positive/negative hand labels or lexicon sentiment. Limitations include small event samples, weak handling of cross-sectional dependence, limited intraday alignment and microstructure controls, underpowered tests with few events, imperfect automated text coding and reliability reporting, sparse mediation testing across credit/funding channels, and inconsistent treatment of packaged releases or overlapping macro news. These gaps reduce causal clarity and the robustness of heterogeneous and mediation findings.</w:t>
      </w:r>
    </w:p>
    <w:p>
      <w:r>
        <w:t xml:space="preserve"> </w:t>
      </w:r>
    </w:p>
    <w:p>
      <w:pPr>
        <w:pStyle w:val="Heading2"/>
      </w:pPr>
      <w:r>
        <w:t>Abstract</w:t>
      </w:r>
    </w:p>
    <w:p>
      <w:r>
        <w:t>This study measures how European banks' equity returns react to climate-related announcements from the European Central Bank (ECB). Using a narrow-window event-study design, we compute abnormal returns for listed European and euro-area banks around five canonical ECB climate communications. We estimate expected returns with a market model on a pre-event estimation window and align announcements intraday to minimize timing error. We integrate an NLP pipeline that timestamps, classifies valence (positive/neutral/negative) and scores intensity, and we test heterogeneity for eurozone banks, ECB-supervised Significant Institutions, and banks with high loan carbon intensity. For inference we use wild-cluster bootstrap clustered by event and permutation tests that preserve market-wide co-movement. We also examine credit and funding channels via CDS and bond-spread responses. The main contribution is a reproducible, pre-registered protocol combining rigorous intraday alignment, NLP-coded event meta-data, and robust small-cluster inference to produce credible estimates of the direction and magnitude of market pricing of ECB climate signals.</w:t>
      </w:r>
    </w:p>
    <w:p>
      <w:r>
        <w:t xml:space="preserve"> </w:t>
      </w:r>
    </w:p>
    <w:p>
      <w:pPr>
        <w:pStyle w:val="Heading2"/>
      </w:pPr>
      <w:r>
        <w:t>Methodology</w:t>
      </w:r>
    </w:p>
    <w:p>
      <w:r>
        <w:t>1. Event collection and timestamps: gather the canonical ECB climate texts (press releases, speeches, strategy notes) and record official timestamps; standardize to UTC and keep original CET/CEST. 2. Price panels: build daily and intraday return panels for listed European banks with ISIN mapping and corporate action adjustments. Intraday alignment: primary return = last trade price in the first minute after the event timestamp; fallback = best bid/ask mid if no trade. 3. Expected returns: estimate the market model Ri,t = αi + βi Rm,t for each firm using daily returns on the [-250, -31] trading day window. The market model predicts normal returns; Ri,t is firm return and Rm,t is market return. 4. Abnormal returns: compute abnormal returns ARi,t = Ri,t − (αi + βi Rm,t) and cumulative abnormal returns CARi for the [0,+1] window (sum of ARs). 5. NLP coding: annotate each announcement for valence (−1/0/+1), intensity (0–100) and binding_flag; train a classifier with human adjudication and produce confidence scores. 6. Inference: pool firm-level CARs across firms and events; primary test uses wild cluster bootstrap clustered by event; complementary permutation inference permutes event dates across eligible trading days to preserve market movements. 7. Heterogeneity and mediation: run interaction regressions for SI status, eurozone membership, and loan carbon intensity; test mediation by adding contemporaneous ΔCDS and Δbond-spread changes to CAR regressions. 8. Sensitivity: run alternative expected-return models (Fama–French Europe, STOXX banks, GARCH-conditional betas), narrower/wider windows ([0],[-1,+1],[-5,+5]), and exclude events flagged for macro overlap.</w:t>
      </w:r>
    </w:p>
    <w:p>
      <w:r>
        <w:t xml:space="preserve"> </w:t>
      </w:r>
    </w:p>
    <w:p>
      <w:pPr>
        <w:pStyle w:val="Heading2"/>
      </w:pPr>
      <w:r>
        <w:t>Experiments</w:t>
      </w:r>
    </w:p>
    <w:p>
      <w:r>
        <w:t>Datasets: (1) Canonical event list of five ECB climate announcements with timestamps and metadata; (2) daily adjusted prices, intraday trades and quotes for all listed European banks (ISINs), covering estimation and event periods; (3) market indices and factor returns (European market, Fama–French Europe factors, STOXX banks); (4) CDS 5y and 5y senior bond spread series; (5) bank-level climate exposures: loan carbon intensity (LCI), fossil-fuel loan share, green-asset share; (6) macro calendar (CPI, GDP, ECB calendar). Baselines: (A) placebo/date-shuffle (permute event dates), (B) no-NLP (treat all events equal), (C) alternative expected-return models (FF-Europe, CAPM, STOXX banks), (D) mid-quote alignment. Metrics: average CAR (basis points), median CAR, standard error, bootstrap p-values, exact permutation p-values, minimal detectable abnormal return (MDA) in bps, Romano–Wolf adjusted p-values. Primary setup: market-model estimated on [-250,-31], primary event window [0,+1], sample: all European banks; primary test statistic = cross-sectionally pooled average CAR with wild-cluster bootstrap (cluster by event), two-sided α=0.05. Sensitivity windows: [0],[-1,+1],[-5,+5]. Subsamples: eurozone vs non-eurozone, ECB-supervised SIs vs other banks, high-LCI (top tercile) vs low-LCI. Ablation studies: (1) exclude package events vs include them; (2) weight events by NLP confidence vs unweighted pooling; (3) remove firms with thin trading (below 25th turnover percentile) vs full sample. Validation tests: lead regressions with event leads −1 to −10, 1,000+ permutations for null distributions, and power table computing MDA across σ and ρ grids for N_firms and N_events. Report primary table showing average CAR, SE, bootstrap p-value and MDA; present figures for heterogeneous marginal effects and permutation nulls.</w:t>
      </w:r>
    </w:p>
    <w:p>
      <w:r>
        <w:t xml:space="preserve"> </w:t>
      </w:r>
    </w:p>
    <w:p>
      <w:pPr>
        <w:pStyle w:val="Heading2"/>
      </w:pPr>
      <w:r>
        <w:t>Risk Factors And Limitations</w:t>
      </w:r>
    </w:p>
    <w:p>
      <w:r>
        <w:t>1. Low power: with only five focal events the detectable effect may be large; cross-sectional correlation among firm CARs further reduces power. 2. Cross-sectional dependence: market-wide shocks can contaminate pooled CARs and complicate inference. 3. NLP misclassification: automated valence or intensity errors and low confidence events can bias heterogeneity analyses. 4. Intraday microstructure noise: sparse trades, bid-ask bounce, or trade clustering can distort minute-level alignment. 5. Overlap with macro or ECB policy events: simultaneous major announcements may confound attribution. 6. Data coverage and proprietary access: missing price, CDS or bond data and proprietary limits may reduce sample size and reproducibility. 7. Measurement error in exposures: loan-carbon intensity and sector mappings are approximations and may be noisy. 8. Corporate actions and corporate-events (dividends, splits): these can affect returns in event windows if not perfectly adjusted. 9. Generalizability: results are specific to European banks and the chosen announcements and may not generalize to other jurisdictions or types of regulators. 10. Computational cost: permutation and bootstrap procedures with many firms and intraday alignments require substantial compute and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