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esif_tfp_spatial_temporal</w:t>
      </w:r>
    </w:p>
    <w:p>
      <w:r>
        <w:t xml:space="preserve"> </w:t>
      </w:r>
    </w:p>
    <w:p>
      <w:pPr>
        <w:pStyle w:val="Heading2"/>
      </w:pPr>
      <w:r>
        <w:t>Title</w:t>
      </w:r>
    </w:p>
    <w:p>
      <w:r>
        <w:t>Estimating the causal effect of EU cohesion funds on regional total factor productivity growth using IV, staggered difference‑in‑differences and spatial panel methods</w:t>
      </w:r>
    </w:p>
    <w:p>
      <w:r>
        <w:t xml:space="preserve"> </w:t>
      </w:r>
    </w:p>
    <w:p>
      <w:pPr>
        <w:pStyle w:val="Heading2"/>
      </w:pPr>
      <w:r>
        <w:t>Short Hypothesis</w:t>
      </w:r>
    </w:p>
    <w:p>
      <w:r>
        <w:t>Higher ESIF payments per capita cause greater regional TFP growth: a €1,000 increase in ERDF payments per capita leads to a positive cumulative change in regional TFP over 0–7 years.</w:t>
      </w:r>
    </w:p>
    <w:p>
      <w:r>
        <w:t xml:space="preserve"> </w:t>
      </w:r>
    </w:p>
    <w:p>
      <w:pPr>
        <w:pStyle w:val="Heading2"/>
      </w:pPr>
      <w:r>
        <w:t>Related Work</w:t>
      </w:r>
    </w:p>
    <w:p>
      <w:r>
        <w:t>Existing empirical approaches to EU cohesion policy impacts use three main strategies: (1) reduced‑form two‑way fixed effects (TWFE) and staggered DiD to exploit timing of disbursements; (2) instrumental variables using predicted allocation formulas or eligibility thresholds to handle endogeneity; and (3) spatial econometric models to capture cross‑region spillovers. Limitations remain: TWFE estimators can be biased with staggered adoption and heterogeneous effects; many IV studies do not fully pre‑specify exclusion threats or diagnostic thresholds and therefore risk weak or invalid instruments; spatial analyses often use a single weight matrix without sensitivity tests and rarely instrument spatially lagged endogenous treatment. Measurement error in fund flows (payments vs commitments) and heterogeneous capital accumulation across regions are frequently under‑addressed, reducing comparability of TFP outcomes. The proposed research aims to combine and strengthen these strands with pre‑specified estimands, robust IV diagnostics, local projections for dynamics, measurement‑error corrections, and systematic spatial sensitivity.</w:t>
      </w:r>
    </w:p>
    <w:p>
      <w:r>
        <w:t xml:space="preserve"> </w:t>
      </w:r>
    </w:p>
    <w:p>
      <w:pPr>
        <w:pStyle w:val="Heading2"/>
      </w:pPr>
      <w:r>
        <w:t>Abstract</w:t>
      </w:r>
    </w:p>
    <w:p>
      <w:r>
        <w:t>This study measures how European Structural and Investment Funds (ESIF) affected regional total factor productivity (TFP) growth across 262 NUTS2 regions from 2000–2019, allowing effects to vary over time, development level and space. We compute econometric TFP residuals (Levinsohn–Petrin/ACF) with capital from a Perpetual Inventory Method and labour adjusted for hours and human capital. Identification combines a pre‑specified instrumental‑variables strategy (predicted mechanical allocation, eligibility distance, historic shares, political timing) with staggered difference‑in‑differences (Callaway &amp; Sant’Anna) and spatial panel models (Spatial Durbin Model) that decompose direct and spillover effects. We explicitly address measurement error (payments vs commitments, SIMEX, validation), weak instruments (AR/LIML), and dynamic responses (local projections up to 8 years). Main contributions are: (1) a transparent, pre‑registered estimand (cumulative %ΔTFP per €1,000 per capita), (2) integrated spatial–temporal identification with instrument diagnostics, and (3) reproducible data and code for policy interpretation. Expected outcomes are credible estimates of fund‑specific and period‑specific productivity effects and clear evidence on mechanisms and spatial spillovers.</w:t>
      </w:r>
    </w:p>
    <w:p>
      <w:r>
        <w:t xml:space="preserve"> </w:t>
      </w:r>
    </w:p>
    <w:p>
      <w:pPr>
        <w:pStyle w:val="Heading2"/>
      </w:pPr>
      <w:r>
        <w:t>Methodology</w:t>
      </w:r>
    </w:p>
    <w:p>
      <w:r>
        <w:t>1. Outcome construction: compute region‑year TFP as Δln A_it, where A_it is the residual from a Cobb–Douglas production function estimated with Levinsohn–Petrin (LP) or ACF (LP/ACF are methods that control for unobserved productivity shocks using intermediate inputs). Use Perpetual Inventory Method (PIM) to build capital stocks (baseline depreciation δ = 6%, sensitivities 4% and 8%). Labour is total hours adjusted for human‑capital weights (Mincer return). Produce alternative TFP series (growth‑accounting residuals) for robustness. 2. Fund exposure: create annual payments‑based ESIF intensity series (ERDF, ESF, CF, EAFRD) per capita, per worker and per unit of capital; also produce commitment‑smoothed and cash‑flow variants. Tag each observation with allocation‑confidence and capital/current flags. 3. Identification: pre‑register primary estimand: cumulative %ΔTFP per €1,000 per capita ERDF payments over 0–7 years. Primary ID strategy: IV using predicted mechanical allocations (formulaic shares computed excluding post‑2000 shocks). Secondary strategies: eligibility RDD/local‑IV, Callaway &amp; Sant’Anna staggered DiD for timing variation, and spatial SDM for spillovers. 4. Instruments: construct Z = predicted allocation shares, distance to eligibility thresholds, pre‑2000 allocation shares, and political‑timing measures. For each instrument pre‑specify exclusion threats and tests (balance on pre‑2000 covariates, placebo outcomes). 5. Dynamics: use local projections (Jordà) to estimate impulse responses up to 8 years; also estimate dynamic SDM variants but treat local projections as primary dynamic tool. (Local projections are simple regressions of future outcomes on current treatment to trace dynamic effects.) 6. Spatial strategy: build three W matrices (queen contiguity, inverse‑distance exponential with 150 km cutoff, k‑NN k=6). Estimate Spatial Durbin Model with region and year fixed effects and decompose direct/indirect effects. Instrument spatially lagged endogenous variables using spatial lags of predicted allocation and spatial lags of exogenous covariates (Kelejian–Prucha approach). 7. Measurement error: primary use payments; quantify reliability ratio from payment/commitment overlap; correct attenuation via IV (predicted allocation), SIMEX and validation‑based correction; report Manski bounds where appropriate. 8. Diagnostics and inference: report first‑stage partial R2, Staiger‑Stock F&gt;10 threshold, Kleibergen‑Paap, Anderson‑Rubin CIs, LIML if weak, and provide Conley spatial HAC (150 km) and country clustered SEs; use wild cluster bootstrap for key IVs. 9. Reproducibility: implement data pipeline, code, and provenance; publish pre‑analysis plan, code and data flags.</w:t>
      </w:r>
    </w:p>
    <w:p>
      <w:r>
        <w:t xml:space="preserve"> </w:t>
      </w:r>
    </w:p>
    <w:p>
      <w:pPr>
        <w:pStyle w:val="Heading2"/>
      </w:pPr>
      <w:r>
        <w:t>Experiments</w:t>
      </w:r>
    </w:p>
    <w:p>
      <w:r>
        <w:t>Datasets: (a) Regional accounts and value added by sector (Eurostat + national sources) to build GFCF and PIM capital; (b) ESIF project/programme payments and commitments (Commission, Managing Authorities) geocoded and annualised 2000–2019 for 262 NUTS2 regions; (c) controls: unemployment, sector shares, GDPpc, population, trade exposure; (d) institutional mediators: managing authority staff, absorption rates, co‑finance ratios where available. Baselines: (1) OLS region and year fixed effects ΔTFP_it on fund intensities; (2) TWFE DiD with cohort indicators; (3) IV FE using predicted allocation instruments; (4) RDD/local‑IV around eligibility thresholds; (5) Spatial Durbin Model (SDM) FE; (6) Local projections (LP) with IV for dynamics. Estimation details: event window −6..+8 for event studies, fund lags ERDF/CF 3–7 yrs, ESF 1–3 yrs, EAFRD 2–4 yrs; LP horizons h=0..8. Instrument diagnostics: report partial R2, first‑stage F (accept if &gt;10), Kleibergen‑Paap, and AR CIs when weak. Inference: Conley HAC (150km), country cluster, wild cluster bootstrap. Evaluation metrics: estimated coefficient and 95% CI for cumulative %ΔTFP per €1,000pc, t/p values, AR/LIML intervals, pre‑trend p‑values, first‑stage F, partial R2, Moran’s I for residuals, MDE computed from pilot σ(ΔTFP). Ablation studies: (A) drop spatial IVs and re‑estimate SDM; (B) replace payments with commitments and re‑run IV and SIMEX corrections; (C) remove predicted allocation instrument and use historic shares only; (D) alternative TFP calibrations (δ=4%,8%; Mincer β range). Comparison study: contrast IV estimates vs Callaway &amp; Sant’Anna staggered DiD ATTg,t and vs RDD local‑IV around eligibility thresholds. Report results by period (2000–2008, 2008–2014, 2014–2019) and by development terciles. All experiments save seeds and code for replication.</w:t>
      </w:r>
    </w:p>
    <w:p>
      <w:r>
        <w:t xml:space="preserve"> </w:t>
      </w:r>
    </w:p>
    <w:p>
      <w:pPr>
        <w:pStyle w:val="Heading2"/>
      </w:pPr>
      <w:r>
        <w:t>Risk Factors And Limitations</w:t>
      </w:r>
    </w:p>
    <w:p>
      <w:r>
        <w:t>1. Measurement error: payments may be misallocated or incomplete; non‑classical errors can bias estimates and weaken IVs. 2. Instrument validity: predicted allocation or political timing may correlate with omitted long‑run determinants of productivity, threatening exclusion. 3. Weak instruments: first‑stage weakness can produce imprecise or invalid IV estimates; AR/LIML intervals may be wide. 4. Dynamic bias: panel estimators with lagged dependent variables and short T can suffer Nickell bias; reliance on local projections mitigates but does not eliminate this. 5. Spatial confounding: unobserved spatially correlated shocks could mimic spillovers and bias SDM estimates. 6. NUTS boundary changes: harmonisation choices (backcast/forward‑cast) affect comparability and may introduce measurement inconsistencies. 7. Power and heterogeneity: splitting sample by period, fund or region reduces effective sample size and may leave MDEs too large for meaningful heterogeneity detection. 8. Data gaps: institutional mediator variables (MA capacity, procurement timings) may be patchy, inducing missingness bias. 9. External validity: results are specific to 2000–2019 EU context and NUTS2 aggregation; micro‑level channels (firm productivity) may differ. 10. Computational scale: spatial IV GMM and full PIM/LP pipelines on 262 regions × 20 years require substantial compute and careful instrument management; scalability limits may delay some robustness checks.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