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true_pricing_label_experiment</w:t>
      </w:r>
    </w:p>
    <w:p>
      <w:r>
        <w:t xml:space="preserve"> </w:t>
      </w:r>
    </w:p>
    <w:p>
      <w:pPr>
        <w:pStyle w:val="Heading2"/>
      </w:pPr>
      <w:r>
        <w:t>Title</w:t>
      </w:r>
    </w:p>
    <w:p>
      <w:r>
        <w:t>Experimental evaluation of label presentation formats for true pricing on consumer food choices</w:t>
      </w:r>
    </w:p>
    <w:p>
      <w:r>
        <w:t xml:space="preserve"> </w:t>
      </w:r>
    </w:p>
    <w:p>
      <w:pPr>
        <w:pStyle w:val="Heading2"/>
      </w:pPr>
      <w:r>
        <w:t>Short Hypothesis</w:t>
      </w:r>
    </w:p>
    <w:p>
      <w:r>
        <w:t>Providing an aggregated true-price label (absolute, relative, or combined) at the point of sale increases the probability that a consumer selects the lower-externality food product in a single discrete choice task relative to no label.</w:t>
      </w:r>
    </w:p>
    <w:p>
      <w:r>
        <w:t xml:space="preserve"> </w:t>
      </w:r>
    </w:p>
    <w:p>
      <w:pPr>
        <w:pStyle w:val="Heading2"/>
      </w:pPr>
      <w:r>
        <w:t>Related Work</w:t>
      </w:r>
    </w:p>
    <w:p>
      <w:r>
        <w:t>Prior work shows that price presentation formats and sustainability labels can change consumer choices: absolute monetary adjustments, percentage comparisons, and certification marks each influence perceived value, trust, and willingness to pay. Studies comparing label types often use small samples, single countries, or single labels and rarely integrate life-cycle assessment (LCA) provenance or monetize multiple externalities. Limitations in existing approaches include inconsistent handling of uncertainty, limited pre-registration of analysis rules, weak control for within-respondent dependence in repeated tasks, sparse cross-country evidence, and little systematic testing of credibility signals (certification). Existing results are therefore mixed on which format is most effective, how uncertainty should be shown, and how monetization choices affect behavior.</w:t>
      </w:r>
    </w:p>
    <w:p>
      <w:r>
        <w:t xml:space="preserve"> </w:t>
      </w:r>
    </w:p>
    <w:p>
      <w:pPr>
        <w:pStyle w:val="Heading2"/>
      </w:pPr>
      <w:r>
        <w:t>Abstract</w:t>
      </w:r>
    </w:p>
    <w:p>
      <w:r>
        <w:t>We study how different presentations of 'true prices'—monetary adjustments that internalize external environmental and health costs—affect consumer food choices. We combine transparent life-cycle to monetization pipelines with a stratified randomized survey experiment in the Netherlands and Denmark to compare absolute monetary labels, relative percentage labels, combined displays, and a certification-enhanced label against a no-information control. Our primary contribution is a preregistered, reproducible evaluation that (1) links fully documented LCA provenance and Monte Carlo uncertainty to consumer-facing labels, and (2) estimates pooled task-level causal effects using hierarchical models that account for repeated choices per respondent. We report intent-to-treat average treatment effects on the probability of choosing lower-externality products, and secondary outcomes on comprehension and trust. Expected outcomes are clear estimates of which label formats shift behavior, how uncertainty and certification change effects, and robust guidance for policymakers and retailers on presenting true-price information.</w:t>
      </w:r>
    </w:p>
    <w:p>
      <w:r>
        <w:t xml:space="preserve"> </w:t>
      </w:r>
    </w:p>
    <w:p>
      <w:pPr>
        <w:pStyle w:val="Heading2"/>
      </w:pPr>
      <w:r>
        <w:t>Methodology</w:t>
      </w:r>
    </w:p>
    <w:p>
      <w:r>
        <w:t>1) True-price computation: compute product-level life-cycle impacts using harmonized inventories (ecoinvent and Agribalyse) and a consistent functional unit (e.g., per 500 g). Monetize components (climate, air-pollution health, water scarcity, eutrophication) using pre-specified central defaults (SCC €50/tCO2e, VSL €4M) and two sensitivity scenarios (Low/High). Propagate uncertainty with Monte Carlo draws (e.g., 5,000 draws) to obtain median and 95% CI. Archive all process IDs, priors, and seeds. 2) Stimulus generation: create five label formats: control (no info), absolute-only (monetary adjustment), relative-only (percent vs baseline), combined (absolute + relative), and combined+cert (combined plus a 'Verified methodology' icon with on-demand verification text). For uncertainty presentation prepare two variants: inline CI and tooltip/footnote CI. Round monetary values to two significant digits for display. 3) Experimental design and fielding: recruit N=1,400 respondents (≈700 Netherlands, ≈700 Denmark) stratified by country×product block. Each respondent completes 4 randomized discrete-choice tasks (select between two products where one has lower external costs). Randomize assignment to one of the five arms equally. Make one randomly selected task consequential via a voucher; record redemption metadata and perceived consequentiality. 4) Primary analysis: pre-register the primary estimand as the pooled task-level intent-to-treat average treatment effect (ATE) on the probability scale. Estimate with a mixed-effects logistic regression: logit(Pr(choice_ijt)) = α + τ·Treatment_i + X_iβ + δ_country + δ_productblock + u_i + ε_ijt, with respondent random intercept u_i ~ N(0,σ_u^2). Report average marginal effects (AMEs) and LPM with respondent-clustered SEs as robustness. 5) Model hierarchy and diagnostics: pre-specify model additions in order: base mixed model → add task-index fixed effects and treatment×task-index interactions → test autocorrelation (Durbin–Watson, ACF/PACF on aggregated residuals) → compare AR(1) respondent-level structure via LRT; add AR(1) if LRT p&lt;0.05, AR(1) estimate&gt;0.05, and AIC decreases by &gt;2. Add random slopes for product type if LRT p&lt;0.05 and slope variance component&gt;0.01. Also run GEE (exchangeable and AR(1)), randomization inference, and Bayesian hierarchical models for sensitivity. 6) Multiplicity and pre-specification: primary family = four contrasts (Absolute, Relative, Combined, Combined+Cert vs Control) controlled by Holm step-down at α=0.05; label subgroup and secondary tests as confirmatory or exploratory in the registry. 7) Missing data and attrition: primary inference is ITT. Pre-specify per-protocol exclusion (fail both attention checks OR fail manipulation comprehension) as sensitivity. Implement MICE for missing covariates with covariates = X, number of imputations = 20, and diagnostics via trace plots and variance checks. For missing outcomes produce IPW estimates and compute Lee bounds when differential attrition &gt;5 percentage points and χ2 p&lt;0.05.</w:t>
      </w:r>
    </w:p>
    <w:p>
      <w:r>
        <w:t xml:space="preserve"> </w:t>
      </w:r>
    </w:p>
    <w:p>
      <w:pPr>
        <w:pStyle w:val="Heading2"/>
      </w:pPr>
      <w:r>
        <w:t>Experiments</w:t>
      </w:r>
    </w:p>
    <w:p>
      <w:r>
        <w:t>Dataset: online survey panel with N=1,400 respondents (≈700 Netherlands, ≈700 Denmark), each performing 4 discrete-choice tasks (total task-observations = 5,600). Product set: 4 product categories (one staple, three discretionary examples) with paired options differing on price and true-price adjustment. Randomization: equal assignment to five arms (control, absolute, relative, combined, combined+cert); within-respondent product order randomized. Baselines: control (no true-price info) and existing price label (if present). Evaluation metrics: primary metric = probability of choosing the lower-externality product per task (binary). Secondary metrics = respondent-level sustainable-choice share, comprehension score (binary), trust score (Likert), perceived fairness (Likert), voucher redemption rate. Analysis setup: primary estimator = mixed-effects logistic regression with respondent random intercepts; report AME and 95% CI. Robustness: LPM with cluster-robust SEs, GEE with exchangeable and AR(1) working correlations, randomization inference p-values, and Bayesian hierarchical posterior summaries. Power and MDE: under ICC=0.25 and 4 tasks/respondent, N=1,400 yields ~80% power to detect ≈11 percentage-point pairwise differences (α=0.05); sensitivity runs for ICC∈{0.15,0.25,0.40}. Pre-specified subgroup tests: numeracy (low/high), income terciles, country, product type; treat subgroup confirmatory tests limited to a pre-registered small set and correct multiplicity accordingly. Ablation studies: (A) uncertainty display: inline CI vs tooltip/footnote; (B) certification effect: combined vs combined+cert; (C) valuation sensitivity: central vs Low vs High monetization scenarios; compare effects via interaction terms and report heterogeneity. Reporting: present ITT primary results, per-protocol sensitivity, Lee bounds when applicable, and full reproducible code and seeds.</w:t>
      </w:r>
    </w:p>
    <w:p>
      <w:r>
        <w:t xml:space="preserve"> </w:t>
      </w:r>
    </w:p>
    <w:p>
      <w:pPr>
        <w:pStyle w:val="Heading2"/>
      </w:pPr>
      <w:r>
        <w:t>Risk Factors And Limitations</w:t>
      </w:r>
    </w:p>
    <w:p>
      <w:r>
        <w:t>1) LCA and monetization uncertainty: true-price estimates depend on database choices, allocation rules, and valuation defaults; errors alter label magnitudes and may change behavior. 2) Mis-estimated ICC or within-respondent dependence: incorrect ICC assumptions affect power and standard errors. 3) Comprehension and numeracy: low-numeracy respondents may misread labels, causing heterogenous or null effects. 4) Uncertainty presentation bias: hiding CI in tooltips may reduce transparency or change effects; inline CI may overload respondents. 5) Certification credibility: an unclear or implausible verification signal can produce artificial trust effects or backfire. 6) Incentive effects and external validity: one consequential voucher may not fully mirror real purchases and may shift attention or strategic responses. 7) Attrition and differential dropout: non-random attrition can bias estimates and complicate inference. 8) Sample representativeness: online panels may not generalize to shopping populations or other countries. 9) Multiplicity and researcher degrees of freedom: many subgroup and sensitivity tests increase false-positive risk if not strictly pre-registered. 10) Computational and reproducibility limits: Monte Carlo propagation and LCA linking require compute and careful archiving; errors in code or seeds undermine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