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markup_diff_airlines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A Lovell-extended markup decomposition integrating product differentiation to analyze profitability dynamics in the U.S. airline industry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Accounting for endogenous product attribute choices causally lowers estimated firm-level markups: when product attribute endogeneity is controlled, average estimated markups decline by at least 10% across firm-route-year observations.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Existing approaches estimate markups in two main ways: (1) revenue-based decomposition methods that recover output elasticities and infer markups from input revenue shares, and (2) demand-inversion methods (BLP-style) that recover markups from estimated demand elasticities. Recent airline studies add output attributes and use dynamic efficiency (DEA) and revenue functions to measure performance. Limitations across these methods include: they typically ignore supply-side attribute choice endogeneity (attributes chosen in response to demand shocks), they rely on single cost-allocation rules without systematic sensitivity checks, they under-address weak-instrument problems and instrument validation, and they rarely reconcile revenue-based and demand-inversion markups. Prior simulation work often omits realistic airline planning dynamics (delivery schedules, slot markets) and panel-aware imputation for sparse itinerary cells. These gaps leave markup decompositions vulnerable to bias from attribute endogeneity, misallocation of costs, and weak instruments.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This study extends Lovell-style markup decomposition to explicitly incorporate product differentiation as a driver of markup dynamics and applies the method to a two-decade panel of U.S. airlines. We combine a revenue-based elasticity approach with a demand-inversion cross-check and a supply-side attribute-choice model that treats attributes as endogenous decisions. Key contributions are: (1) a pre-registered algebraic decomposition that separates annual markup changes into elasticity-driven, cost-share-driven, product-mix (quality) and differentiation components; (2) a control-function and joint-GMM identification strategy using supply-side instruments (slot reallocations, delivery surprises, fuel*exposure) with formal diagnostics; and (3) a reproducible cost-allocation hierarchy and Monte Carlo calibration suite that quantifies sensitivity to misallocation, weak IVs, and measurement error. Expected outcomes are robust firm-route-year markup series, quantified shares of markup change attributable to product differentiation, and a validated reconciliation between revenue-based and demand-inversion estimators that clarifies when each is reliable for policy and welfare analysis.</w:t>
      </w:r>
    </w:p>
    <w:p>
      <w:r>
        <w:t xml:space="preserve"> </w:t>
      </w:r>
    </w:p>
    <w:p>
      <w:pPr>
        <w:pStyle w:val="Heading2"/>
      </w:pPr>
      <w:r>
        <w:t>Methodology</w:t>
      </w:r>
    </w:p>
    <w:p>
      <w:r>
        <w:t>Data assembly and units: build a firm × origin × destination × year panel (top-300 routes by revenue) using DB1B itineraries, DOT T-100 financials, Form 41, OAG schedules, EIA fuel prices, and FAA/airport slot/runway events. Primary output units: RPMs (revenue passenger miles); intensity unit: ASMs (available seat miles).</w:t>
        <w:br/>
        <w:t>Attribute construction: define observable product attributes a_itm (frequency, nonstop indicator, cabin-seat shares, departure time buckets, OTP, ancillaries). Build a hedonic quality index q_itm by PCA or simple weighted sum of standardized attributes. Define differentiation D_rt as a revenue-weighted pairwise attribute distance (e.g., Mahalanobis).</w:t>
        <w:br/>
        <w:t>Decomposition algebra (Lovell extension): let R_it be revenue and X_it the primary variable input (e.g., fuel or labor). Define input revenue share s_X = (p_X X)/R and output elasticity ε_X = ∂ln R / ∂ln X. For a given input X, define markup μ = ε_X / s_X. Then annual log-change decomposition:</w:t>
        <w:br/>
        <w:t>Δ ln μ = Δ ln ε_X − Δ ln s_X.</w:t>
        <w:br/>
        <w:t>Decompose Δ ln ε_X into product-mix and differentiation effects by linearizing ε_X(Q,D) around baseline:</w:t>
        <w:br/>
        <w:t>Δ ln ε_X ≈ (∂ ln ε_X/∂Q) ΔQ + (∂ ln ε_X/∂D) ΔD + Δ frontier/time term.</w:t>
        <w:br/>
        <w:t>Aggregation: aggregate firm-route-year contributions to firm-year and industry-year by revenue weights (or RPM weights) and report both.</w:t>
        <w:br/>
        <w:t>Identification and estimation:</w:t>
        <w:br/>
        <w:t>1) Attribute choice first stage: estimate A_itm = h(Z_itm, W_itm) + ν_itm where Z include supply-side instruments (slot reallocations/trades, scheduled vs actual aircraft deliveries surprise, exogenous runway closures) and W are controls. Use OLS or LASSO if many controls.</w:t>
        <w:br/>
        <w:t>2) Control-function main equation: estimate ln R_it = f(ln X_it, q_itm, D_it, P_it, r(ν̂_itm)) where r(·) is linear residual or a low-order polynomial sieve of first-stage residuals to control for attribute endogeneity. ε_X is recovered from estimated elasticities.</w:t>
        <w:br/>
        <w:t>3) Joint GMM: when feasible, stack demand moments (BLP) and supply attribute FOCs into a GMM system to increase efficiency and test overidentifying restrictions.</w:t>
        <w:br/>
        <w:t>Instruments and diagnostics: pre-register instruments per endogenous block (attributes, inputs, prices), timing lags (slots k=6 months primary, deliveries k=12 months primary, fuel*exposure k=1 month primary), and tests (first-stage F, partial R2, Kleibergen–Paap, Hansen, Anderson–Rubin, LIML). Use event-study/placebo pre-trend checks for slot and delivery instruments.</w:t>
        <w:br/>
        <w:t>Cost allocation and sensitivity: implement four parallel allocation rules per firm-route-year (1: direct DB1B route-cabin revenue shares; 2: revenue-share by fare/cabin; 3: ASM × stage-length; 4: RPM). For each decomposition run all rules and report max-min and SD across allocations.</w:t>
        <w:br/>
        <w:t>Bootstrap and inference: cluster bootstrap by route and firm for standard errors, produce componentwise percentile-t CIs and simultaneous bootstrap bands. Use LIML/AR intervals when weak-IV indicators appear.</w:t>
        <w:br/>
        <w:t>Monte Carlo calibration: create DGPs with endogenous attributes, serial demand shocks, instrument strength variation, misallocation patterns, and measurement error to test estimator bias, RMSE, and CI coverage.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top-300 firm-route-year panel for years 2000–2020 constructed from DB1B itineraries, DOT T-100/Form 41 financials, OAG schedules, EIA jet-fuel prices, FAA/airport slot/runway event logs. Baselines:</w:t>
        <w:br/>
        <w:t>A. Revenue-based De Loecker–Warzynski style markup using input elasticity from revenue regressions and a primary input (fuel).</w:t>
        <w:br/>
        <w:t>B. Demand-inversion (BLP) markups estimated by random-coefficients discrete-choice demand inversion.</w:t>
        <w:br/>
        <w:t>C. Naive OLS markups that ignore attribute endogeneity and use a single cost allocation.</w:t>
        <w:br/>
        <w:t>Primary estimands: firm-route-year markup μ_it, decomposition components (elasticity change, cost-share change, product-mix Q change, differentiation D change), and aggregate shares.</w:t>
        <w:br/>
        <w:t>Evaluation metrics: average percent change in markup when adding attribute control (%), bias and RMSE of μ relative to simulated truth (MC), 95% CI coverage rate for μ and component shares, fraction of variance in Δ ln μ explained by ΔQ and ΔD, first-stage instrument F-statistics, and number of instruments dropped by pre-registered abandonment thresholds.</w:t>
        <w:br/>
        <w:t>Empirical setup: estimate nested-logit then BLP demand for attributes; run attribute first-stage regressions with Z and W and include residuals in revenue regressions; compute ε_X and s_X then μ. Use clustered bootstrap (firm and route) with 1,000 draws for CIs. Apply estimator-switch rules: if first-stage F&gt;10 use IV-GMM; if 5≤F≤10 present LIML; if F&lt;5 report AR/LIML CIs.</w:t>
        <w:br/>
        <w:t>Monte Carlo experiments: simulate panels calibrated to empirical moments. Vary scenarios: (i) instrument strength: strong/weak; (ii) attribute endogeneity correlation ρ∈{0,0.3,0.6}; (iii) misallocation type: random vs systematic across routes; (iv) measurement error in ASMs/RPMs σ_me∈{0,0.1,0.3}; (v) serial correlation in demand shocks φ∈{0,0.5}. For each scenario run 1,000 simulations and report bias, RMSE, and 95% coverage.</w:t>
        <w:br/>
        <w:t>Ablations: (1) control-function vs no control-function; (2) linear residual vs 2nd-order polynomial sieve; (3) primary input fuel vs labor; (4) each of the four allocation rules. Report changes in μ and component shares across ablations.</w:t>
        <w:br/>
        <w:t>Reporting: primary table = main specification (control-function + DB1B allocation + BLP cross-check) with bootstrap CIs; robustness appendix includes five pre-registered checks (alternative IV subsets, alternative lags, alternative FE structures, imputation variants, and allocation rules).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Instrument endogeneity: supply-side instruments (slots, deliveries, fuel*exposure) may still correlate with unobserved demand shocks after controls; lead/placebo tests may detect this and remove instruments, reducing identification power. Weak instruments: some instruments may produce low first-stage F (&lt;10) leading to wide CIs or reliance on LIML/AR intervals with reduced precision. Misallocation and measurement error: DB1B disclosure and imputation can misallocate revenue and ASMs; multiple allocation rules mitigate but do not eliminate bias. Imputation limits: many small route-cabin cells are sparse; MICE or hierarchical imputation may still distort intra-firm dynamics. Computational cost: two-step BLP on top-300 markets and bootstrapping across imputations is compute-intensive (tens to hundreds of core-hours); limited compute may force aggregation that reduces identification. Generalization: results apply to U.S. scheduled carriers and the chosen top-300 routes and may not extend to small regional carriers or international markets. Model misspecification: linearizations and separability assumptions in the decomposition may not hold exactly; decomposition components are local approximations. Coverage under misspecification: bootstrap CIs may undercover under heavy serial correlation or heteroskedasticity not captured in the bootstrap cluster design.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