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epistemic_virtue_micro_macro</w:t>
      </w:r>
    </w:p>
    <w:p>
      <w:r>
        <w:t xml:space="preserve"> </w:t>
      </w:r>
    </w:p>
    <w:p>
      <w:pPr>
        <w:pStyle w:val="Heading2"/>
      </w:pPr>
      <w:r>
        <w:t>Title</w:t>
      </w:r>
    </w:p>
    <w:p>
      <w:r>
        <w:t>Testing the causal role of individual epistemic virtues for collective scientific reliability using cluster experiments and agent-based simulation</w:t>
      </w:r>
    </w:p>
    <w:p>
      <w:r>
        <w:t xml:space="preserve"> </w:t>
      </w:r>
    </w:p>
    <w:p>
      <w:pPr>
        <w:pStyle w:val="Heading2"/>
      </w:pPr>
      <w:r>
        <w:t>Short Hypothesis</w:t>
      </w:r>
    </w:p>
    <w:p>
      <w:r>
        <w:t>Increasing the prevalence of individuall-level epistemic virtues within research labs causes higher measurable collective reproducibility and open-science practices, controlling for institutional incentive changes.</w:t>
      </w:r>
    </w:p>
    <w:p>
      <w:r>
        <w:t xml:space="preserve"> </w:t>
      </w:r>
    </w:p>
    <w:p>
      <w:pPr>
        <w:pStyle w:val="Heading2"/>
      </w:pPr>
      <w:r>
        <w:t>Related Work</w:t>
      </w:r>
    </w:p>
    <w:p>
      <w:r>
        <w:t>Two broad approaches address why science works: structural accounts that explain collective reliability by incentives, division of labor, and market-like mechanisms; and virtue-based accounts that emphasize stable character traits or skills of individual researchers. Metascience work has measured reproducibility and open-data uptake using archival sources (preregistrations, OSF deposits, Registered Reports) and developed statistical indicators of questionable research practices (statcheck, z-curve). Agent-based models (ABMs) have been used to simulate scientific behavior under incentives. Limitations: structural accounts often assume individual dispositions are irrelevant and lack direct micro-to-macro causal tests; existing measures of individual epistemic virtue are weakly validated and often rely on self-report alone; mediating pathways from individual behavior to institutional change are underspecified and untested empirically; most ABMs are not pre-registered or tightly calibrated to behavioral measures; and equity concerns (who can safely enact virtues) are underexplored.</w:t>
      </w:r>
    </w:p>
    <w:p>
      <w:r>
        <w:t xml:space="preserve"> </w:t>
      </w:r>
    </w:p>
    <w:p>
      <w:pPr>
        <w:pStyle w:val="Heading2"/>
      </w:pPr>
      <w:r>
        <w:t>Abstract</w:t>
      </w:r>
    </w:p>
    <w:p>
      <w:r>
        <w:t>We test whether individual epistemic virtues—stable dispositions like intellectual honesty, diligence, humility, and curiosity—causally contribute to collective scientific reliability beyond institutional incentives. We combine preregistered lab-level cluster experiments (stepped-wedge and encouragement designs) with a calibrated agent-based model (ABM). Empirically, we measure virtues with a multimethod battery: validated trait scales, incentivized behavioral tasks, peer/mentor ratings, and archival indicators (preregistration, open-data deposits). Primary collective outcomes are verified open-data deposit rate, successful direct replication rate, and incidence of major post-publication corrections. Causal estimands include cluster ITT, CACE, and mediation via local lab norms. The ABM uses empirically informed priors to test micro-to-macro mapping and to run counterfactuals. Main contributions: a preregistered, testable classification rule for epistemic virtue; formal causal tests contrasting structural-only vs micro-to-macro virtue hypotheses; and an open, calibrated simulation framework. Expected outcome: clear evidence on whether and how individual virtues matter for maintaining and reforming reliable scientific institutions.</w:t>
      </w:r>
    </w:p>
    <w:p>
      <w:r>
        <w:t xml:space="preserve"> </w:t>
      </w:r>
    </w:p>
    <w:p>
      <w:pPr>
        <w:pStyle w:val="Heading2"/>
      </w:pPr>
      <w:r>
        <w:t>Methodology</w:t>
      </w:r>
    </w:p>
    <w:p>
      <w:r>
        <w:t>1. Definitions: Individual epistemic virtues are stable dispositions and skills (intellectual honesty, diligence, humility, curiosity) that make reliable practices more likely. Collective epistemic virtue is an institutional property measured by rates of reproducibility and open practices. 2. Measurement battery: (a) Self-report scales (HEXACO Honesty-Humility, epistemic curiosity, epistemic humility). (b) Behavioral tasks: peer-review simulation, incentivized data-sharing choice, whistleblowing vignette. (c) Archival indicators: OSF preregistration counts, Registered Reports, GitHub/PMC data deposits, statcheck and z-curve indices. (d) Peer/mentor ratings and short social-desirability control (short Marlowe-Crowne). Explanation: statcheck and z-curve are automated checks that flag improbable p-value patterns; OSF is an online registry for preregistrations. 3. Concordance rule: classify an individual as "virtuous" if ≥70% of available indicators are positive and at least one positive is behavioral or archival; positive thresholds default to ≥75th percentile or field-specific medians; preregister sensitivity thresholds (66th and 80th). 4. Field experiments: stepped-wedge cluster RCT across labs with interventions: virtue-training + mentorship + protected replication time versus institutional incentive change (reward novelty vs reward rigor). Also run encouragement designs (random invites with incentives) for individual uptake. 5. Causal analysis: pre-specify estimands: cluster-level ITT, individual ITT, CACE (using random assignment as instrument), and multilevel mediation estimating indirect effects through local norms. Use inverse-probability weighting, multiple imputation, and MNAR sensitivity models. 6. ABM: build agents with virtue vectors mapped to behavior probabilities; pre-register priors for virtue prevalence and mapping strength; calibrate with archival and pilot behavioral data using Approximate Bayesian Computation (ABC). 7. Governance: layered opt-in consent for publication linkage, secure enclave for individual-level data, aggregated public outputs only, and appeals panel for contested classifications.</w:t>
      </w:r>
    </w:p>
    <w:p>
      <w:r>
        <w:t xml:space="preserve"> </w:t>
      </w:r>
    </w:p>
    <w:p>
      <w:pPr>
        <w:pStyle w:val="Heading2"/>
      </w:pPr>
      <w:r>
        <w:t>Experiments</w:t>
      </w:r>
    </w:p>
    <w:p>
      <w:r>
        <w:t>1. Datasets and archival sources: OSF preregistration records, Crossref Registered Report counts, GitHub/PMC data deposits, statcheck outputs, z-curve estimates, Retraction Watch corrections/retractions, ORCID/Scopus author networks. 2. Field sample: 12–20 research labs per pilot, multiple disciplines (social psychology, biomedical, economics, computational sciences), cluster size 6–12 researchers, balanced by career stage and demographics. 3. Experimental arms: A. Virtue intervention (training + mentorship + protected replication time), B. Institutional incentive change (explicit rewards for rigor), C. Control (no intervention). Implement stepped-wedge roll-out so all clusters receive intervention in phased order. 4. Baselines: current institutional practice (no added virtue training) and incentive-only arm act as baselines. 5. Primary evaluation metrics: preregistration rate (fraction of new studies preregistered), verified open-data deposit rate (fraction of new outputs with usable data/code), direct replication success rate (fraction of attempted direct replications that reproduce original result per pre-specified criterion). Secondary metrics: statcheck p-hacking index, z-curve estimated true discovery rates, number of post-publication corrections/retractions. 6. Statistical tests and estimands: cluster-level ITT estimated by difference-in-means with cluster-robust SEs; CACE via two-stage least squares using assignment as instrument for compliance; multilevel SEM for mediation with natural indirect effects; report E-value sensitivity for unmeasured confounding. 7. Power and sample parameters: precompute cluster power tables for ICC ∈ {0.05,0.10,0.15}, target detectable lab-level standardized effect sizes d ∈ {0.3,0.4,0.5}; report minimum clusters required per scenario. 8. Ablations and comparisons: (a) Ablation 1: remove behavioral indicators from virtue concordance to test dependence on self-report. (b) Ablation 2: vary concordance thresholds (66th, 75th, 80th percentiles) and report effect on classifications and causal estimates. (c) Model comparison: fit structural-only mediation model (no individual virtue effect) versus micro-to-macro model and compare fit using pre-registered criteria. 9. ABM experiments: systematic parameter sweeps over virtue prevalence and virtue→behavior strength; calibration targets: time series of preregistration uptake and open-data rates; fitness metrics: RMSE on series and Wasserstein distance on distributional outputs with pre-specified tolerances scaled to series variance.</w:t>
      </w:r>
    </w:p>
    <w:p>
      <w:r>
        <w:t xml:space="preserve"> </w:t>
      </w:r>
    </w:p>
    <w:p>
      <w:pPr>
        <w:pStyle w:val="Heading2"/>
      </w:pPr>
      <w:r>
        <w:t>Risk Factors And Limitations</w:t>
      </w:r>
    </w:p>
    <w:p>
      <w:r>
        <w:t>1. Measurement bias: self-report inflation due to social desirability and imperfect behavioral proxies may misclassify individuals. 2. Classification harms: labelling individuals as virtuous/non-virtuous carries reputational risk; public release or leaks could harm careers. 3. Attrition and MNAR: participants who drop out may differ systematically, biasing results and mediation estimates. 4. Instrument validity: random assignment may weakly influence actual compliance, reducing CACE identification power. 5. ABM misspecification: agent rules or priors may fail to capture real social dynamics, producing misleading counterfactuals. 6. Limited generalization: findings from sampled disciplines or resource-rich institutions may not generalize to under-resourced settings. 7. Power limits: cluster trials require many labs; small cluster counts reduce sensitivity to mediation and CACE effects. 8. Data and compute constraints: ABM calibration and ABC require substantial compute; archival linkage and secure enclaves require engineering resources. 9. Ethical and legal constraints: consent for publication linkage may reduce sample size and introduce selection bias. 10. Equity limits: interventions may produce unequal burdens or benefits across demographic groups, limiting straightforward policy transferability.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