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gender_visibility_german_tech</w:t>
      </w:r>
    </w:p>
    <w:p>
      <w:r>
        <w:t xml:space="preserve"> </w:t>
      </w:r>
    </w:p>
    <w:p>
      <w:pPr>
        <w:pStyle w:val="Heading2"/>
      </w:pPr>
      <w:r>
        <w:t>Title</w:t>
      </w:r>
    </w:p>
    <w:p>
      <w:r>
        <w:t>A qualitative weighted decision-tree study of how women, trans, and non-binary tech founders in Germany construct visibility to do, redo, or undo gender</w:t>
      </w:r>
    </w:p>
    <w:p>
      <w:r>
        <w:t xml:space="preserve"> </w:t>
      </w:r>
    </w:p>
    <w:p>
      <w:pPr>
        <w:pStyle w:val="Heading2"/>
      </w:pPr>
      <w:r>
        <w:t>Short Hypothesis</w:t>
      </w:r>
    </w:p>
    <w:p>
      <w:r>
        <w:t>Founders who engage in structural or institutional interventions (e.g., policy changes, gender-blind processes, formal organizational redesign) are more likely to be classified as 'undoing gender' in their visibility practices than founders who do not engage in such interventions.</w:t>
      </w:r>
    </w:p>
    <w:p>
      <w:r>
        <w:t xml:space="preserve"> </w:t>
      </w:r>
    </w:p>
    <w:p>
      <w:pPr>
        <w:pStyle w:val="Heading2"/>
      </w:pPr>
      <w:r>
        <w:t>Related Work</w:t>
      </w:r>
    </w:p>
    <w:p>
      <w:r>
        <w:t>Existing qualitative studies examine how founders perform gender through aesthetics, language, and emotional labor and how some actors unsettle gender norms. Prior work shows patterns of 'doing gender' and emergent 'redoing' practices, but limitations remain: inconsistent operational definitions, lack of reproducible coding rules, scarce inclusion of trans and non-binary founders, weak artifact-consent protocols, little sensitivity testing of classification thresholds, and limited reporting on intercoder reliability. Methods often rely on single-indicator heuristics or unweighted code lists, which risk false positives when isolated acts are present. Few studies combine interview narratives with systematic analysis of public artifacts (LinkedIn, press, pitch decks) or provide clear procedures for structural/temporal evidence of institutional change.</w:t>
      </w:r>
    </w:p>
    <w:p>
      <w:r>
        <w:t xml:space="preserve"> </w:t>
      </w:r>
    </w:p>
    <w:p>
      <w:pPr>
        <w:pStyle w:val="Heading2"/>
      </w:pPr>
      <w:r>
        <w:t>Abstract</w:t>
      </w:r>
    </w:p>
    <w:p>
      <w:r>
        <w:t>This study analyzes how women, trans, and non-binary tech founders in Germany create public visibility and whether their practices reproduce, reconfigure, or remove gendered binaries. Using qualitative interviews triangulated with public artifacts, we implement a theory-anchored, weighted decision-tree to classify visibility practices as doing, redoing, or undoing gender. The main contribution is a reproducible operationalization: a codebook mapping concrete indicators, a weighting scheme that reserves 'undoing' for cases with structural evidence, and a sensitivity-analysis procedure to test threshold robustness. Expected outcomes are validated classification rules, intercoder reliability metrics, and case-based insights that reveal which practices correspond to structural change versus individual performance. The project yields transferable protocols for researchers and practitioners and clear documentation for ethical artifact use and participant safeguards.</w:t>
      </w:r>
    </w:p>
    <w:p>
      <w:r>
        <w:t xml:space="preserve"> </w:t>
      </w:r>
    </w:p>
    <w:p>
      <w:pPr>
        <w:pStyle w:val="Heading2"/>
      </w:pPr>
      <w:r>
        <w:t>Methodology</w:t>
      </w:r>
    </w:p>
    <w:p>
      <w:r>
        <w:t>1) Sampling and recruitment: purposive maximum-variation sample targeting 35 founders across Berlin, Munich, Hamburg, and NRW, explicitly including self-identified women, trans, and non-binary founders. Keep a recruitment funnel log recording source, consent for artifacts, demographics, and region. 2) Data collection: semi-structured interviews (≈60 minutes) in German or English; opt-in collection of public artifacts (LinkedIn posts, press coverage, pitch decks). Obtain explicit artifact consent per item. 3) Transcription and translation: professional verbatim German transcripts with linked English translations; code in source language and attach bilingual glossary of gendered terms. Back-translate 10–15% of analytic quotes. 4) Codebook and decision-tree: build a theory-anchored codebook with parent codes (gender strategy, visibility type, tactic, motivation, outcome, costs, intersectional axes). Implement weighted indicators: structural/intervention=3, discursive intent=2, performative/embodied=2, alliance-building=2, cost signals=1. Classify: undoing &gt;=6 AND ≥1 structural; redoing 4–5; doing 2–3; &lt;2 = no strategy. 5) Coding and reliability: double-code 25–30% of transcripts; calculate Krippendorff's alpha (multi-coder) and Cohen's kappa (pairwise). Target alpha &gt;=0.75, kappa &gt;=0.7. Hold calibration meetings post-pilot, mid-coding, and pre-finalization; produce reconciliation memos. 6) Sensitivity analyses: run pilot sensitivity tests varying weights and thresholds and document how classifications change. 7) Small-n and intersectionality: for subgroups with n&lt;5 use in-depth case studies, deviant-case analysis, and anonymized composite vignettes; report limits. 8) Version control and transparency: preregister protocol on OSF, version codebook on private GitHub, and deposit redacted audit trail. 9) Ethics and anonymization: apply k-anonymity (k&gt;=5 in high-risk contexts), l-diversity &gt;=3 for sensitive attributes, store encrypted files with access logs, offer participant member-checking of anonymized thematic summaries, and allow quote redaction within a 3-month window.</w:t>
      </w:r>
    </w:p>
    <w:p>
      <w:r>
        <w:t xml:space="preserve"> </w:t>
      </w:r>
    </w:p>
    <w:p>
      <w:pPr>
        <w:pStyle w:val="Heading2"/>
      </w:pPr>
      <w:r>
        <w:t>Experiments</w:t>
      </w:r>
    </w:p>
    <w:p>
      <w:r>
        <w:t>Dataset: 35 interview transcripts (German originals) + consented public artifacts per participant (LinkedIn posts, press articles, pitch decks). Pilot: 5 initial interviews for calibration. Baselines: A) unweighted indicator count rule (do if &gt;=2 matching indicators), B) single-indicator rule (classify by highest-priority single indicator), C) weighted decision-tree without structural requirement. Evaluation metrics: - Intercoder reliability: Krippendorff's alpha (multi-coder) and Cohen's kappa (pairwise) on double-coded set (25–30% of transcripts). - Classification stability: percent of participant classifications that change under alternative weight sets and threshold shifts (sensitivity). - Validity via participant feedback: percent agreement between researcher classification summaries and participant opt-in feedback. - Triangulation coherence: percent concordance between interview-based classification and artifact-based signals. Experimental steps: 1) Run pilot coding with weighted tree; compute reliability metrics. 2) Sensitivity ablation: vary weights by ±1 point and remove structural indicator requirement; record classification changes. 3) Baseline comparison: apply baselines A and B to full sample and compare classification distributions to primary method. 4) Statistical reporting: present confusion matrices between methods, reliability scores, and sensitivity curves showing classification change rate vs threshold. 5) Small-n tests: for subgroups with n&lt;5 provide detailed case reports and compare coding patterns to main sample. CAQDAS: use NVivo or similar for coded queries and exports (CSV of coded segments).</w:t>
      </w:r>
    </w:p>
    <w:p>
      <w:r>
        <w:t xml:space="preserve"> </w:t>
      </w:r>
    </w:p>
    <w:p>
      <w:pPr>
        <w:pStyle w:val="Heading2"/>
      </w:pPr>
      <w:r>
        <w:t>Risk Factors And Limitations</w:t>
      </w:r>
    </w:p>
    <w:p>
      <w:r>
        <w:t>1) Small subgroup sizes: very small counts for trans or specific intersectional groups limit generalization and statistical claims. 2) Classification sensitivity: weighted thresholds and the structural requirement may produce unstable labels in borderline cases. 3) Intercoder disagreement: reaching target reliability may be difficult, particularly for ambiguous or metaphorical language. 4) Re-identification risk: small, networked startup ecosystems increase risk that combined attributes reveal identities. 5) Translation loss: nuances in gendered language or idioms may be lost or altered in translation. 6) Selection bias: recruitment via accelerators and VCs may over-represent founders connected to mainstream ecosystems. 7) Artifact provenance: public materials change over time; timestamping errors or deleted posts can affect triangulation. 8) Limited external validity: findings apply to German tech startup contexts and may not transfer to other countries or sectors. 9) Resource constraints: high transcription and coding workload may strain time and budget, affecting data completeness. 10) Ethical/legal constraints: GDPR and participant withdrawal demands can reduce usable data and complicate longitudinal follow-up.</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