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santander_export_growth_analysis</w:t>
      </w:r>
    </w:p>
    <w:p>
      <w:r>
        <w:t xml:space="preserve"> </w:t>
      </w:r>
    </w:p>
    <w:p>
      <w:pPr>
        <w:pStyle w:val="Heading2"/>
      </w:pPr>
      <w:r>
        <w:t>Title</w:t>
      </w:r>
    </w:p>
    <w:p>
      <w:r>
        <w:t>Panel regression and spatial econometric analysis to identify determinants of firm export growth in Santander, Colombia (2010–2020)</w:t>
      </w:r>
    </w:p>
    <w:p>
      <w:r>
        <w:t xml:space="preserve"> </w:t>
      </w:r>
    </w:p>
    <w:p>
      <w:pPr>
        <w:pStyle w:val="Heading2"/>
      </w:pPr>
      <w:r>
        <w:t>Short Hypothesis</w:t>
      </w:r>
    </w:p>
    <w:p>
      <w:r>
        <w:t>Improved regional transport accessibility causally increases annual export growth of firms in Santander during 2010–2020, holding time‑invariant firm characteristics constant.</w:t>
      </w:r>
    </w:p>
    <w:p>
      <w:r>
        <w:t xml:space="preserve"> </w:t>
      </w:r>
    </w:p>
    <w:p>
      <w:pPr>
        <w:pStyle w:val="Heading2"/>
      </w:pPr>
      <w:r>
        <w:t>Related Work</w:t>
      </w:r>
    </w:p>
    <w:p>
      <w:r>
        <w:t>Prior empirical work on export growth has used firm fixed‑effects panels, difference‑in‑differences for trade policy, instrumental variables from geography, and spatial econometrics to measure spillovers. Limitations remain: many studies use short panels or larger samples where small‑sample inference is less binding; instrument validity is often challenged by correlation with local infrastructure or historical shocks; spatial spillovers are sometimes ignored or handled with a single weight matrix; zeros in export data are treated inconsistently (log transforms, Tobit, or PPML) leading to sensitivity; and few studies integrate pre‑post pandemic shocks with staggered FTA adoption while fully addressing staggered treatment bias. Measurement error, missing financials, and limited reproducibility detail (imputation seeds, provenance) also reduce credibility in prior work.</w:t>
      </w:r>
    </w:p>
    <w:p>
      <w:r>
        <w:t xml:space="preserve"> </w:t>
      </w:r>
    </w:p>
    <w:p>
      <w:pPr>
        <w:pStyle w:val="Heading2"/>
      </w:pPr>
      <w:r>
        <w:t>Abstract</w:t>
      </w:r>
    </w:p>
    <w:p>
      <w:r>
        <w:t>This study analyzes which firm and regional factors drove export growth for 128 exporters in Santander, Colombia from 2010 to 2020. We combine firm financial panels with a regional opportunity map to estimate annual export growth using firm and year fixed‑effects, staggered event‑study methods for free‑trade agreement (FTA) exposure and COVID shocks, instrumental‑variable (IV) strategies using geographic and gravity‑predicted instruments, and spatial Durbin/error models to quantify direct and spillover effects. Key contributions are (1) a pre‑registered identification strategy with power simulations and decision rules for weak IVs and zeros, (2) explicit handling of missing financial data with reproducible MICE pipelines, and (3) decomposition of spatial direct and indirect elasticities across multiple weight matrices. Expected outcomes include credible estimates of infrastructure and FTA causal effects on exports, estimates of spatial spillovers between municipalities, and policy‑oriented elasticity simulations to inform regional investment and trade policy choices.</w:t>
      </w:r>
    </w:p>
    <w:p>
      <w:r>
        <w:t xml:space="preserve"> </w:t>
      </w:r>
    </w:p>
    <w:p>
      <w:pPr>
        <w:pStyle w:val="Heading2"/>
      </w:pPr>
      <w:r>
        <w:t>Methodology</w:t>
      </w:r>
    </w:p>
    <w:p>
      <w:r>
        <w:t>1) Data preparation: harmonize customs, firm accounts, and regional opportunity map layers; convert currencies to constant 2015 COP using annual exchange rates and CPI; flag and document each transformation. 2) Missing data: run MICE (predictive mean matching for continuous, logistic for binaries) with fixed seeds and save imputation flags. 3) Variable construction: compute exports (constant COP), Δln(exports) for positive observations, export intensity, productivity, financial ratios, product/destination Herfindahl indices, and FTA exposure shares. 4) Baseline estimation: estimate Δln(exports_it)=α_i+γ_t+βX_it+ε_it using firm fixed effects (controls limited to 8–10 time‑varying covariates). Explain: fixed effects remove unobserved time‑invariant firm traits. 5) Zeros: if zero share &gt;12% use a two‑part model (selection probit for positive exports then FE on positives); otherwise use ln(exports+1) sensitivity and PPML at disaggregated levels. 6) Causal shocks: implement event‑study/DiD for staggered FTAs and COVID using Sun &amp; Abraham and Callaway &amp; Sant’Anna estimators to avoid bias from staggered timing. 7) IV strategy: pre‑register instruments (distance to port/airport, gravity_predicted_exposure, pre‑2010 municipal export share); require first‑stage F&gt;10 or Kleibergen‑Paap threshold, otherwise report LIML/Fuller as alternatives. Explain: Kleibergen‑Paap is a diagnostic for weak IVs when errors are heteroskedastic. 8) Spatial analysis: build queen contiguity, inverse‑distance (50 km), and k‑nearest (k=4,6) matrices; estimate spatial Durbin model (SDM) to decompose direct and indirect effects. 9) Inference: cluster standard errors at municipality, apply wild cluster bootstrap for few clusters, and report robustness across clustering choices. 10) Reproducibility: containerize code, version data artifacts, and record provenance (seeds, DVC tags).</w:t>
      </w:r>
    </w:p>
    <w:p>
      <w:r>
        <w:t xml:space="preserve"> </w:t>
      </w:r>
    </w:p>
    <w:p>
      <w:pPr>
        <w:pStyle w:val="Heading2"/>
      </w:pPr>
      <w:r>
        <w:t>Experiments</w:t>
      </w:r>
    </w:p>
    <w:p>
      <w:r>
        <w:t>Datasets: firm panel of N≈128 firms, years 2010–2020; customs/DANE exports by firm and destination; Regional Opportunity Map layers (municipal GDP, roads, ports, airports); CEPII distance matrix; tariff schedules (WITS/UNCTAD/ITC); OxCGRT for lockdowns; national CPI and annual exchange rates. Baselines: (A) firm FE Δln(exports) with year FE; (B) two‑part model (selection probit + conditional FE) if zeros &gt;12%; (C) IV estimates using distance and gravity_predicted_exposure; (D) staggered DiD/event‑study (Sun &amp; Abraham; Callaway &amp; Sant’Anna); (E) spatial Durbin model (SDM) with three weight matrices. Evaluation metrics: estimated β coefficients with robust SEs, clustered SEs, wild bootstrap p‑values, Kleibergen‑Paap F‑stat and first‑stage F, Hansen overid p, Moran’s I for residual spatial autocorrelation, average direct and indirect elasticities (spatial), and minimal detectable effects (MDE) from Monte‑Carlo power sims. Experimental setup: run 1,000+ Monte‑Carlo reps mirroring observed unbalanced panel and ICC scenarios {0.2,0.4,0.6} to compute MDEs for three primary hypotheses. Imputation: MICE with m=30 imputations, fixed seed; report fraction of missing information. Clustering: cluster at municipality; run wild cluster bootstrap when cluster count &lt;40. Sensitivity and ablation studies: (i) compare FE vs IV vs LIML/Fuller when instruments weak; (ii) ablate spatial lags: estimate SDM vs non‑spatial FE to measure change in direct effects; (iii) compare zero‑handling: two‑part vs ln(exports+1) vs PPML; (iv) vary spatial weight matrices (queen, inverse‑distance, k‑nearest) and report effect stability. Report all results with pre‑specified multiple‑testing adjustments for primary hypothesis family.</w:t>
      </w:r>
    </w:p>
    <w:p>
      <w:r>
        <w:t xml:space="preserve"> </w:t>
      </w:r>
    </w:p>
    <w:p>
      <w:pPr>
        <w:pStyle w:val="Heading2"/>
      </w:pPr>
      <w:r>
        <w:t>Risk Factors And Limitations</w:t>
      </w:r>
    </w:p>
    <w:p>
      <w:r>
        <w:t>1) Weak instruments: geographic IVs may correlate with unobserved municipal infrastructure or historical shocks, reducing causal identification. 2) Small sample and few clusters: N≈128 and limited municipal clusters can produce imprecise estimates and invalid cluster inference. 3) Measurement error: misreported destinations, product codes, or exchange rates create attenuation bias. 4) Missing not at random (MNAR): MICE assumes missing at random; if MNAR holds, estimates may be biased. 5) Zeros and selection: high zero share complicates log transformations and may bias FE estimates if selection is endogenous. 6) Spatial model bias in short T: SDM/SEM estimators may be biased with short panels and many fixed effects. 7) External validity: results for Santander (2010–2020) may not generalize to other regions or periods. 8) Data privacy: small N limits public sharing of microdata; synthetic data may not fully preserve inferential fidelity. 9) Compute: Monte‑Carlo and spatial estimations are computationally intensive and may require substantial runtime. 10) Policy interpretation limits: estimated elasticities assume ceteris paribus changes and may not capture political or institutional barriers that alter real world impacts.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