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effectuation_precommitment_smes</w:t>
      </w:r>
    </w:p>
    <w:p>
      <w:r>
        <w:t xml:space="preserve"> </w:t>
      </w:r>
    </w:p>
    <w:p>
      <w:pPr>
        <w:pStyle w:val="Heading2"/>
      </w:pPr>
      <w:r>
        <w:t>Title</w:t>
      </w:r>
    </w:p>
    <w:p>
      <w:r>
        <w:t>PLS-SEM and mixed-methods study of how effectual pre-commitments and real-options reasoning shape foreign market entry opportunities and international performance in SMEs</w:t>
      </w:r>
    </w:p>
    <w:p>
      <w:r>
        <w:t xml:space="preserve"> </w:t>
      </w:r>
    </w:p>
    <w:p>
      <w:pPr>
        <w:pStyle w:val="Heading2"/>
      </w:pPr>
      <w:r>
        <w:t>Short Hypothesis</w:t>
      </w:r>
    </w:p>
    <w:p>
      <w:r>
        <w:t>Higher levels of pre-commitment by SMEs (financial, contractual, personnel, and anchor-customer commitments) at T1 cause greater creation of foreign market entry opportunities at T2, which increases international performance at T3; this mediated effect is stronger for firms with higher experiential learning.</w:t>
      </w:r>
    </w:p>
    <w:p>
      <w:r>
        <w:t xml:space="preserve"> </w:t>
      </w:r>
    </w:p>
    <w:p>
      <w:pPr>
        <w:pStyle w:val="Heading2"/>
      </w:pPr>
      <w:r>
        <w:t>Related Work</w:t>
      </w:r>
    </w:p>
    <w:p>
      <w:r>
        <w:t>Prior work shows that effectuation heuristics (affordable loss, staging logic, pre-commitments) and real-options reasoning help firms enter foreign markets by enabling flexible, staged investments and managing downside risk. Existing studies commonly rely on cross-sectional surveys, single-item or reflective measures for commitments, small or convenience samples, and limited objective performance data. Limitations include weak handling of formative resource indicators (pre-commitments), underpowered tests of interactions (moderation by learning), sparse temporal separation to support causal ordering, and limited integration of qualitative process evidence. Methods that attempt causal inference often lack strong instruments or pre-registered fallback rules. There is therefore a gap for a preregistered, two-wave, mixed-methods approach that measures pre-commitments as a formative index, evaluates mediated and moderated paths with appropriate power simulations, and triangulates mechanisms with process-tracing case studies.</w:t>
      </w:r>
    </w:p>
    <w:p>
      <w:r>
        <w:t xml:space="preserve"> </w:t>
      </w:r>
    </w:p>
    <w:p>
      <w:pPr>
        <w:pStyle w:val="Heading2"/>
      </w:pPr>
      <w:r>
        <w:t>Abstract</w:t>
      </w:r>
    </w:p>
    <w:p>
      <w:r>
        <w:t>This study tests whether SMEs' pre-commitments—concrete resource pledges such as advance payments, signed MOUs, dedicated personnel, and confirmed pilot orders—drive the creation of foreign market entry opportunities and downstream international performance, and whether experiential learning strengthens this pathway. We use a two-wave survey of New Zealand SMEs (pilot n≈30, target n≈332 with oversample plan) combined with 12–18 qualitative case studies. Quantitatively, we operationalize pre-commitment as a formative index and estimate structural paths with PLS-SEM, including mediation by opportunity creation and moderation by experiential learning; we also test competing roles of real-options reasoning as mediator or moderator. We pre-register Monte Carlo power simulations, explicit measurement decision rules, and endogeneity robustness checks (IVs, control-functions, Gaussian-copula, Lewbel). Qualitative process-tracing triangulates mechanisms and refines measures. The main contribution is an integrated, reproducible test of how concrete pre-commitments translate into international outcomes in SMEs, producing actionable insights for research and policy about staged, affordable internationalization strategies.</w:t>
      </w:r>
    </w:p>
    <w:p>
      <w:r>
        <w:t xml:space="preserve"> </w:t>
      </w:r>
    </w:p>
    <w:p>
      <w:pPr>
        <w:pStyle w:val="Heading2"/>
      </w:pPr>
      <w:r>
        <w:t>Methodology</w:t>
      </w:r>
    </w:p>
    <w:p>
      <w:r>
        <w:t>1) Measurement and data collection: design a survey measuring four pre-commitment indicators as formative items: (a) financial pre-commitments (advance payments count/binary), (b) contractual pre-commitments (signed MOUs binary), (c) personnel commitments (dedicated hires intensity 1–5), and (d) anchor-customer commitments (confirmed pilot orders count). Measure staging logic, affordable loss, real-options reasoning, experiential learning, perceived opportunity quality, and subjective international performance with reflective multi-item 7-point Likert scales. Collect objective export revenue where available. Implement a pilot (n≈30) to refine items. 2) Temporal design: two-wave survey: T1 capture effectuation measures and controls; T2 (6 months) capture opportunity creation and short-term performance; plan T3 follow-ups at 12–18 months and administrative linkage to export records. 3) Quantitative analysis: preprocess formative indicators (consider z-score standardization for continuous counts but document distributions; alternate constructions will be pre-specified). Use PLS-SEM for primary estimation with 5,000 bootstrap draws. Validate reflective scales with loadings&gt;0.70, CR&gt;0.70, AVE&gt;0.50, HTMT&lt;0.85. For formative index report indicator weights, bootstrapped significance, and VIF&lt;3.3; run CTA-PLS and redundancy tests. Test mediation (pre-commitment → opportunity → performance) and moderation by experiential learning using the two-stage latent-interaction method and simple-slope plots. Run PLSpredict and report Q2predict. 4) Endogeneity and robustness: pre-register candidate IVs (grant eligibility timing, trade-mission invitations, regional campaigns); require first-stage F&gt;10 and overidentification checks. Pre-specify fallback methods: control-function/residual-inclusion, Lewbel heteroskedastic-IVs, and Gaussian-copula tests. 5) Missing data: use multiple imputation (m=20) with Rubin pooling as primary; pre-specify MNAR sensitivity checks (pattern-mixture, tipping-point). 6) Monte Carlo: run 5,000-rep simulations to estimate minimum detectable effects for mediated paths and latent interactions under specified true coefficients, measurement error levels, missing-data patterns, and sample sizes. 7) Qualitative integration: select 12–18 survey respondents across high/low pre-commitment and learning cells, conduct 2–3 semi-structured interviews per case, collect artifacts (MOUs, pilot briefs), build event chronologies, and apply process-tracing to identify mechanisms; code deductively and inductively and link case evidence to quantitative constructs. 8) Reproducibility: preregister analysis plan, provide code, de-identified cleaned data, synthetic public data, and Docker/renv environment for replication.</w:t>
      </w:r>
    </w:p>
    <w:p>
      <w:r>
        <w:t xml:space="preserve"> </w:t>
      </w:r>
    </w:p>
    <w:p>
      <w:pPr>
        <w:pStyle w:val="Heading2"/>
      </w:pPr>
      <w:r>
        <w:t>Experiments</w:t>
      </w:r>
    </w:p>
    <w:p>
      <w:r>
        <w:t>Dataset: primary dataset is a two-wave survey of New Zealand SMEs (pilot n≈30; main target n=332; contingency target n≈400–500). Supplement with administrative export revenue where available and 12–18 qualitative case study transcripts and artifacts. Baselines: (A) structural model without mediation (direct pre-commitment → performance), (B) mediation-only model (pre-commitment → opportunity → performance), (C) model with real-options as mediator, (D) model with real-options as moderator (latent interaction), (E) CB-SEM nested-model comparisons where distributional conditions hold. Robustness constructions: primary formative index (z-scored mix); robustness1: binary-only index; robustness2: ordinal buckets; robustness3: multiplicative score; robustness4: regularized-PLS or PLSc formulation. Evaluation metrics: path coefficients and 95% bias-corrected bootstrap CIs; indirect effect magnitude and VAF (variance accounted for); Cohen’s f^2 effect sizes for each path; PLSpredict RMSE and Q^2predict; indicator diagnostics (loadings, CR, AVE, HTMT); formative indicator weights and VIF; first-stage F-statistics for IVs; overidentification (Sargan/Hansen) when applicable; imputation diagnostics and convergence; qualitative coding inter-rater reliability (Cohen’s kappa &gt;=0.70) and process-tracing evidence counts. Experimental setup: run PLS-SEM with 5,000 bootstrap samples; test latent interaction using two-stage approach and report simple slopes at ±1 SD; run Monte Carlo simulations with 5,000 replications parameterized by pre-specified true path coefficients (e.g., direct effect=0.30, mediation indirect=0.15, measurement error variances=0.30), missing-data MAR patterns and MNAR scenarios for sensitivity to tipping-points. Ablation studies: (1) compare primary formative index vs each robustness construction to assess sensitivity of structural paths; (2) compare mediation-only vs mediation+real-options mediator vs mediation+interaction to isolate role of real-options reasoning; (3) compare PLS-SEM results with CB-SEM nested comparisons when sample size and normality permit. Power reporting: report minimum detectable effect sizes from Monte Carlo for each key test and indicate which tests are underpowered at observed N.</w:t>
      </w:r>
    </w:p>
    <w:p>
      <w:r>
        <w:t xml:space="preserve"> </w:t>
      </w:r>
    </w:p>
    <w:p>
      <w:pPr>
        <w:pStyle w:val="Heading2"/>
      </w:pPr>
      <w:r>
        <w:t>Risk Factors And Limitations</w:t>
      </w:r>
    </w:p>
    <w:p>
      <w:r>
        <w:t>1) Formative-index measurement risk: counts and intensity indicators may be highly skewed or collinear, producing unstable weights or VIF&gt;3.3. 2) Endogeneity and instrument weakness: candidate IVs may lack exogeneity or sufficient variation in New Zealand, producing weak first stages (F&lt;10) and unreliable IV estimates. 3) Missing-data mechanisms: nonrandom attrition or MNAR responses at T2/T3 can bias estimates; MNAR sensitivity analyses may not fully resolve bias. 4) Common-method bias: despite temporal separation, self-reported measures may share method variance that alters path estimates. 5) Power limits: N≈332 provides power for medium effects but is underpowered for small latent interactions (f^2≈0.02), limiting ability to detect subtle moderation. 6) Causal limits: two-wave design and robustness checks improve inference but cannot fully eliminate unobserved confounding or reverse causality. 7) Generalizability: results may be specific to New Zealand SME context and may not generalize to larger firms or different institutional settings. 8) Qualitative data access: firms may withhold artifacts or refuse deep interviews, reducing mechanism triangulation. 9) Computational and reproducibility limits: advanced checks (Gaussian-copula, Lewbel, control-function in PLS) require careful implementation and may be sensitive to software versions and assumptions.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