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w:t>
      </w:r>
    </w:p>
    <w:p>
      <w:r>
        <w:t xml:space="preserve"> </w:t>
      </w:r>
    </w:p>
    <w:p>
      <w:pPr>
        <w:pStyle w:val="Heading2"/>
      </w:pPr>
      <w:r>
        <w:t>Title</w:t>
      </w:r>
    </w:p>
    <w:p>
      <w:r>
        <w:t>Controlled reproducible incremental builds for accelerating exploration of large configurable software spaces</w:t>
      </w:r>
    </w:p>
    <w:p>
      <w:r>
        <w:t xml:space="preserve"> </w:t>
      </w:r>
    </w:p>
    <w:p>
      <w:pPr>
        <w:pStyle w:val="Heading2"/>
      </w:pPr>
      <w:r>
        <w:t>Short Hypothesis</w:t>
      </w:r>
    </w:p>
    <w:p>
      <w:r>
        <w:t>Applying seed-deterministic, SAT-constrained mutation with deny-lists and an adaptive mutation-size controller to reuse incremental builds increases configuration exploration throughput (wall-clock builds per unit time) while keeping reproducibility failures below 1% compared to full-clean builds.</w:t>
      </w:r>
    </w:p>
    <w:p>
      <w:r>
        <w:t xml:space="preserve"> </w:t>
      </w:r>
    </w:p>
    <w:p>
      <w:pPr>
        <w:pStyle w:val="Heading2"/>
      </w:pPr>
      <w:r>
        <w:t>Related Work</w:t>
      </w:r>
    </w:p>
    <w:p>
      <w:r>
        <w:t>Prior approaches to exploring configurable software spaces include exhaustive or sampling-based builds, build-caching systems, incremental compilers/build systems, and constraint-aware configuration generators. Exhaustive and naive sampling require many full-clean builds and are costly on large trees. Generic build caching speeds some workloads but often breaks reproducibility when generated inputs or toolchain provenance differ; it also lacks automated controls to keep incremental reuse safe. Constraint-aware generators (feature-model solvers) produce valid configurations but are not optimized for minimizing rebuild cost or maximizing safe reuse. Existing denial or blacklist practices are typically manual, brittle, and not mined from validation data. No prior system integrates (1) deterministic seeded mutation operators constrained by the feature model, (2) online per-feature rebuild-cost estimates, (3) an adaptive controller that bounds rebuild work, (4) deny-list mining from validation failures, and (5) signed provenance tied to cache keys to guarantee experiment-level reproducibility and integrity.</w:t>
      </w:r>
    </w:p>
    <w:p>
      <w:r>
        <w:t xml:space="preserve"> </w:t>
      </w:r>
    </w:p>
    <w:p>
      <w:pPr>
        <w:pStyle w:val="Heading2"/>
      </w:pPr>
      <w:r>
        <w:t>Abstract</w:t>
      </w:r>
    </w:p>
    <w:p>
      <w:r>
        <w:t>Exploring very large configuration spaces of highly configurable software is expensive because many configurations require large rebuild effort. We propose a controlled incremental-build approach that reuses previously built artifacts while preserving reproducibility. The method generates small, seed-deterministic configuration mutations subject to feature-model constraints, estimates per-feature rebuild cost online, and adapts a mutation-size controller constrained by a rebuild latency budget. Problematic options are excluded by mined deny-lists derived from sampled validation failures. Every build records a signed provenance blob and canonical cache keys so reuse is auditable. The main contribution is an integrated, testable pipeline combining SAT-guided mutation, robust cost estimators, an EWMA/PI controller with conservative bounds, sampled validation and deny-list mining, and provenance-backed cache isolation. Expected outcome: substantially higher exploration throughput (more valid configurations per wall-clock time) with bounded rebuild cost and reproducibility-failure rates under 1% on representative systems such as BusyBox, Toybox, and Linux kbuild.</w:t>
      </w:r>
    </w:p>
    <w:p>
      <w:r>
        <w:t xml:space="preserve"> </w:t>
      </w:r>
    </w:p>
    <w:p>
      <w:pPr>
        <w:pStyle w:val="Heading2"/>
      </w:pPr>
      <w:r>
        <w:t>Methodology</w:t>
      </w:r>
    </w:p>
    <w:p>
      <w:r>
        <w:t>All terms explained simply: μ_i = average rebuild cost when flipping feature i, measured in seconds of rebuild (CPU-seconds or wall-time as chosen); μ̂ = conservative estimator (upper 90% bootstrap CI) of the mean per-feature rebuild cost; m = mutation-size (number of independent feature flips per mutated config); deny-list = set of features or feature-tuples forbidden because they cause frequent validation failures; SAT solver = tool that checks Kconfig constraints; provenance = signed JSON record of inputs used to generate cache keys; CAS = content-addressable store for cached artifacts.</w:t>
        <w:br/>
        <w:br/>
        <w:t>Implementation steps:</w:t>
        <w:br/>
        <w:t>1) Instrument builds: emit per-target compile time, input hashes, and toolchain digest. Measure per-flip rebuild work A_t and maintain per-feature samples for μ_i. Use winsorization (trim 10% tails) and compute median, trimmed mean, MAD, and bootstrap CI. Update μ̂ via EWMA with α=0.1 and recompute bootstrap every N=20 builds.</w:t>
        <w:br/>
        <w:t>2) Mutation operator: given base config and seed, compute candidate features = all features minus D_fixed minus D_forbid. Weight candidates by p_i ∝ (1/μ_i)·1/(1+λ·fanout_i). Sample m distinct features without replacement using PRNG seeded by experiment seed. For each sampled flip verify feasibility via incremental SAT (kconfiglib + PySAT) with timeout=5s and max_retries=50. On failures use greedy fallback selecting lowest-μ_i candidates.</w:t>
        <w:br/>
        <w:t>3) Controller: compute m_model = floor(C_max / μ̂_conservative) where C_max is rebuild-work budget in seconds (e.g., 0.2·C_total). Use discrete PI update m_{t+1} = clip(round(m_t + k_p·e_t + k_i·I_t), 1, m_model) with e_t = R*−r_t, anti-windup that freezes I_t when clipping, default k_p=0.1, k_i=0.01. Emergency shrink: if validation-failure rate &gt; τ_fail (0.01) halve m.</w:t>
        <w:br/>
        <w:t>4) Sampled validation: per-build lightweight sample s1 = min(50, max(5, ceil(0.01·reused_objects))). Periodic heavy sample s2 = 300 every 100 mutations. If s1 mismatches rate &gt; τ_fail apply emergency shrink and flag implicated features. Promotion: require K=3 independent failures in sliding window W=50 to auto-add to D_forbid; D_forbid entries decay after 500 builds without recurrence.</w:t>
        <w:br/>
        <w:t>5) Cache &amp; provenance: canonicalize inputs (toolchain_hash, canonical_config_mask, sorted input hashes, normalized flags) into deterministic string and sha256 it as cache key. Store signed provenance JSON per build with experiment_id, seed, deny-list versions, toolchain digest, and input hashes. Use per-experiment CAS namespaces to avoid cross-seed contamination.</w:t>
        <w:br/>
        <w:t>6) kbuild specifics: include generated headers in input hashes; treat module vs built-in flips as high-fanout and restrict them to m=1 or D_forbid initially.</w:t>
        <w:br/>
        <w:t>7) Logging and telemetry: record reuse ratio r_t, build times, cache-hit rates, solver latencies, μ_i samples, validation outcomes and provenance signatures for analysis.</w:t>
      </w:r>
    </w:p>
    <w:p>
      <w:r>
        <w:t xml:space="preserve"> </w:t>
      </w:r>
    </w:p>
    <w:p>
      <w:pPr>
        <w:pStyle w:val="Heading2"/>
      </w:pPr>
      <w:r>
        <w:t>Experiments</w:t>
      </w:r>
    </w:p>
    <w:p>
      <w:r>
        <w:t>Datasets: BusyBox (representative small OS utilities), Toybox (similar), and a full Linux kbuild tree. For each dataset use multiple seeds (BusyBox/Toybox: 10 seeds; Linux: 5 seeds) drawn from distinct valid base configurations.</w:t>
        <w:br/>
        <w:br/>
        <w:t>Baselines: (A) Full-clean builds (no reuse), (B) Naive incremental reuse without deny-lists or SAT-guided mutation (reuse when possible), (C) Random mutation (same mutation-size distribution as Pyrobuilds) with incremental reuse but no controller, (D) Pyrobuilds variants: full method, disable deny-list mining, fixed-m (m∈{1,2,5,10}), and higher/lower τ_fail.</w:t>
        <w:br/>
        <w:br/>
        <w:t>Primary metrics (precise): reuse ratio r = total reused object CPU-seconds / total rebuild CPU-seconds; median wall-clock speedup = median(full_clean_time / pyro_time) per mutated build; rebuild-cost fraction = total incremental rebuild work / C_total; validation-failure rate = mismatches per sampled target; reproducibility violations = builds where full-clean and incremental outputs differ for required artifacts; cache-hit rate, solver latency distribution (p50/p95/p99), controller m trajectory.</w:t>
        <w:br/>
        <w:br/>
        <w:t>Setup and parameters: initial m=1, R*=0.90, C_max=0.2·C_total (C_total measured as full-build CPU-seconds per seed), kp=0.1, ki=0.01, EWMA α=0.1, N=20, SAT timeout=5s, max_retries=50, s1 and s2 as defined, τ_fail=0.01, W=50, K=3. Pilot sizes: BusyBox/Toybox: 10 seeds × 100 mutations per seed = 1,000 builds per strategy; Linux: 5 seeds × 60 mutations = 300 builds per strategy.</w:t>
        <w:br/>
        <w:br/>
        <w:t>Ablation studies: 1) Remove deny-list mining and compare validation-failure rate and speedup. 2) Fix m at values {1,2,5,10} and compare against adaptive controller. 3) Vary SAT timeout (1s,5s,10s) and measure solver latency and fallback frequency. 4) Change τ_fail (0.005,0.01,0.02) and measure false-alarm and sensitivity. 5) Vary μ̂ update α (0.05,0.1,0.2) and observe controller stability.</w:t>
        <w:br/>
        <w:br/>
        <w:t>Statistical analysis: run paired experiments using identical seeds for each strategy. Compute cluster-corrected bootstrap 95% confidence intervals for medians, use Wilcoxon signed-rank for paired comparisons, report Cliff’s delta effect sizes, and apply Benjamini–Hochberg correction for multiple tests. Stopping rule: stop a comparison when 95% CI width for median speedup &lt;10% of target effect or after planned builds complete. Record all raw traces and signed provenance for reproducibility.</w:t>
      </w:r>
    </w:p>
    <w:p>
      <w:r>
        <w:t xml:space="preserve"> </w:t>
      </w:r>
    </w:p>
    <w:p>
      <w:pPr>
        <w:pStyle w:val="Heading2"/>
      </w:pPr>
      <w:r>
        <w:t>Risk Factors And Limitations</w:t>
      </w:r>
    </w:p>
    <w:p>
      <w:r>
        <w:t>1) Heavy-tailed build times: large variance in per-target compile times can make μ_i noisy and cause controller instability. 2) Solver scaling: incremental SAT queries may be slow or pathological on very large Kconfig models, causing fallback to greedy selection and reduced effectiveness. 3) Deny-list overfitting: automatic deny-listing mined from limited seeds may remove valid features for unseen seeds, reducing coverage. 4) False positives/negatives in sampled validation: sampled checks can miss rare reproducibility violations (false negatives) or raise false alarms from transient noise (false positives). 5) Provenance overhead: signing and storing per-build provenance may add measurable latency and storage costs at high scale. 6) Security key lifecycle: private key compromise or mismanagement can invalidate provenance guarantees. 7) Generalization limits: policy and default parameters tuned on BusyBox/Toybox may not transfer directly to other projects without retuning. 8) Resource limits: required storage for solver caches, CAS, and instrumented telemetry can be large and impose budget constraints. 9) Recovery cost: quarantining and full-clean remediation after poisoning signals can be expensive in wall time. 10) Measurement definitions: choices of wall-time vs CPU-seconds and warm/cold cache handling affect μ_i estimates and comparability across setups.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