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cgo_usage_study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An empirical study using automated static and minimal dynamic analysis (cgoanalyzer) to characterize cgo foreign-function interface usage and risks in open-source Go projects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Seeding a demand-driven SSA points-to analysis at _Cfunc_* cgo wrapper entry points increases precision for detecting Go-pointer-to-C escape issues compared to heuristic-only detectors on a stratified validation set.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addresses foreign-function interfaces (FFIs) and cross-language analyses using either coarse heuristics (regex/AST searches) or whole-program inclusion-based points-to analyses. Heuristic methods are fast but produce many false positives because they lack cross-language symbol mapping and build provenance. Whole-program inclusion-based points-to analyses (Andersen-style) give higher precision but are often too slow or memory-intensive at repository scale, and they rarely incorporate generated artifacts from language bindings. Static taint and escape analyses exist for single languages but do not handle cgo-generated wrappers, C header preprocessing, or mixed build toolchains. Few published studies combine static cross-language mapping, hermetic build artifact capture, and minimal dynamic corroboration; as a result, limitations remain in reproducibility, confidence calibration, platform coverage (Windows/MSVC, arm64), and labeled validation guiding disclosure decisions.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cgo — Go's foreign-function interface — is used and misused in open-source Go projects by building and applying cgoanalyzer, an automated analysis pipeline that combines demand-driven static analysis with hermetic build artifact capture and lightweight dynamic checks. The pipeline materializes generated cgo artifacts, parses C headers, and runs an SSA-based, demand-seeded points-to analysis at cgo wrapper entry points to find risky patterns such as Go-pointer-to-C escapes, uintptr/unsafe shims, and long-lived C threads calling into Go. We propose a transparent confidence scoring scheme that weights static evidence, artifact presence, and dynamic corroboration, and we validate detectors with a labeled pilot set and synthetic seeded fixtures. The main contribution is a reproducible, scalable methodology that produces calibrated prevalence estimates and concrete, triageable findings for developers and the Go team. Expected outcomes include measured detector performance (precision/recall), prioritized lists of real-world risky patterns, and guidance for mitigation and tooling.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Corpus curation: scan public repositories for import "C" or // #cgo directives and filter by redistributable licenses and repository size. 2) Hermetic builds: run builds in containers that record go env, CC, CFLAGS, LDFLAGS and produce generated cgo artifacts (_cgo_gotypes.go, _cgo_export.h, generated .c/.o). 3) Wrapper mapping: parse generated artifacts to map _Cfunc_* wrappers to underlying C symbols. 4) Static analysis: build Go SSA (single static assignment) form and run a demand-driven Andersen-style points-to analysis seeded at wrapper entry points. Demand-driven means the analysis only explores code reachable from those wrapper calls. Use k-limited context sensitivity (k=1 or 2) to balance precision and scale; explain: context sensitivity means distinguishing different call sites up to k call chain steps. 5) Detectors: implement prioritized detectors — Go-pointer-to-C escapes, uintptr/unsafe shims, pthread/CreateThread or CreateThread callbacks to //export functions, //export misuse, ownership mismatches (malloc/free). 6) Confidence scoring: compute an unnormalized evidence vector (direct SSA flow, artifact presence, C-store/malloc evidence, reproducible build, uintptr-only penalty), normalize to [0,1], and assign High/Medium/Low bands. 7) Labeling: prepare synthetic fixtures and a stratified validation set; provide a labeling UI and three raters per item with majority vote and expert adjudication. 8) Dynamic corroboration: implement lightweight runs using CGO_DEBUG logging and sanitizer-enabled builds to reproduce flagged behaviors; treat successful runs as dynamic evidence and record provenance. 9) Outputs: emit JSONL findings with artifact checksums, detector name, confidence components, dynamic evidence flag, and partial analysis markers.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Candidate corpus ≈5,000 repos discovered by import "C" scans. (B) Buildable subset ≈1,000 repos after hermetic build attempts. (C) Pilot N=100 repos stratified by popularity, domain, and C-intensity for early runs. (D) Validation set: 385 stratified findings (plus 50 synthetic fixtures) for labeled evaluation. Baselines: 1) heuristic-only detector (regex/AST-based), 2) whole-program inclusion-based Andersen points-to analysis, 3) cgoanalyzer ablations (static-only without artifact parsing, static without dynamic corroboration, varying k values). Metrics: precision, recall, F1, ROC and PR curves, bootstrap 95% CIs, Cohen’s kappa for labeler agreement, mean analysis runtime and peak memory per package. Experimental setup: run hermetic builds on linux/amd64 and darwin/amd64 images; record toolchain versions. For each detector, measure: true positives, false positives, false negatives using labeled set. Ablation studies: (i) remove artifact-based wrapper mapping and measure precision drop; (ii) disable demand-driven seeding and compare runtime and precision; (iii) vary k (0,1,2) to measure precision/recall tradeoffs; (iv) include dynamic corroboration and measure confidence calibration improvement. Statistical tests: use bootstrap for CIs, McNemar’s test for paired precision/recall comparisons between detectors, and report effect sizes. Scaling tests: measure throughput and resource usage processing 100, 500, and 1,000 repos with per-package timeout settings.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False positives: conservative tainting and uintptr heuristics may flag benign patterns, increasing triage burden. 2) False negatives: opaque C++ templates, inline assembly, and mangled-only symbols can hide flows; demand limits (k) reduce sensitivity. 3) Buildability bias: many repositories may not build hermetically, biasing prevalence estimates toward buildable projects. 4) Toolchain coverage: MSVC/Visual Studio builds and proprietary toolchains may be infeasible to fully reproduce, limiting Windows coverage. 5) Dynamic nondeterminism: sanitizer or runtime checks may be flaky and non-deterministic, complicating corroboration. 6) Scalability and compute cost: whole-corpus analysis requires substantial CPU, memory, and storage; timeouts produce partial results. 7) Labeler reliability: human labeling introduces noise and requires careful adjudication; agreement thresholds may not be met. 8) Generalization limits: results from linux/amd64 and darwin/amd64 may not generalize to other OS/arch combinations. 9) Legal/licensing constraints: excluding non-redistributable repos limits the representativeness of findings. 10) Disclosure risk: publishing POCs from real projects can introduce ethical and security concerns.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