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agentarc_eval</w:t>
      </w:r>
    </w:p>
    <w:p>
      <w:r>
        <w:t xml:space="preserve"> </w:t>
      </w:r>
    </w:p>
    <w:p>
      <w:pPr>
        <w:pStyle w:val="Heading2"/>
      </w:pPr>
      <w:r>
        <w:t>Title</w:t>
      </w:r>
    </w:p>
    <w:p>
      <w:r>
        <w:t>AgentArcEval: a scenario-driven architecture evaluation method for foundation-model-based agents</w:t>
      </w:r>
    </w:p>
    <w:p>
      <w:r>
        <w:t xml:space="preserve"> </w:t>
      </w:r>
    </w:p>
    <w:p>
      <w:pPr>
        <w:pStyle w:val="Heading2"/>
      </w:pPr>
      <w:r>
        <w:t>Short Hypothesis</w:t>
      </w:r>
    </w:p>
    <w:p>
      <w:r>
        <w:t>A scenario-driven evaluation method that combines architecture-aware scenario manifests, verifier-enabled provenance, and targeted sampling increases the detection rate of unsafe or failure behaviors caused by agent architecture (measured as higher unsafe-incident detection rate) compared to conventional per-task benchmarks when operating at the same verifier false-negative rate.</w:t>
      </w:r>
    </w:p>
    <w:p>
      <w:r>
        <w:t xml:space="preserve"> </w:t>
      </w:r>
    </w:p>
    <w:p>
      <w:pPr>
        <w:pStyle w:val="Heading2"/>
      </w:pPr>
      <w:r>
        <w:t>Related Work</w:t>
      </w:r>
    </w:p>
    <w:p>
      <w:r>
        <w:t>Existing evaluation work for large models focuses on task benchmarks, red-teaming of model outputs, or component-level metrics. Benchmarks often measure single-turn task success, hallucination on text outputs, or end-to-end task scores without explicitly testing the agent's architecture (the arrangement of planner, memory, tool use, verifiers, and update loops). Prior safety and verification efforts apply detectors or formal checks to narrow deterministic components, but they do not combine scenario catalogs, provenance-signed evidence, and sampling strategies tailored to nondeterministic, evolving agent architectures. Limitations in prior approaches include: (1) lack of architecture-aware scenarios that exercise compound behaviors like tool escalation and memory corruption; (2) weak provenance or unverifiable traces for post-hoc audit; (3) insufficient rare-event sampling and statistical pooling for low-rate safety events; (4) limited specifications for reproducible replay across stochastic decoders and external tools; and (5) minimal integration of DP-style accounting for continuous updates.</w:t>
      </w:r>
    </w:p>
    <w:p>
      <w:r>
        <w:t xml:space="preserve"> </w:t>
      </w:r>
    </w:p>
    <w:p>
      <w:pPr>
        <w:pStyle w:val="Heading2"/>
      </w:pPr>
      <w:r>
        <w:t>Abstract</w:t>
      </w:r>
    </w:p>
    <w:p>
      <w:r>
        <w:t>We present AgentArcEval, a method for evaluating the architectures of foundation-model-based agents. AgentArcEval targets the unique properties of such agents: compound architectures (planners, tool use, memory), autonomy and nondeterminism, and continuous learning or updates. The approach defines a canonical scenario manifest schema, a catalogue of architecture-focused scenarios, a verifier interface that produces signed proof blobs for traceable evidence, and a metrics package with normalized safety and reliability measures. AgentArcEval couples targeted sampling (pilot seeds, importance sampling for rare events) with statistical pooling and reproducible deterministic replay to produce calibrated estimates and power tables. The main contribution is an operational evaluation pipeline that makes architecture hypotheses testable: scenario-driven stimuli, verifiable telemetry, and formalized metrics for safety and adaptivity. Expected outcomes are more reliable detection of architecture-induced failures, auditable traces for incident review, and sample-size guidance to balance cost and statistical power for safety-critical evaluations.</w:t>
      </w:r>
    </w:p>
    <w:p>
      <w:r>
        <w:t xml:space="preserve"> </w:t>
      </w:r>
    </w:p>
    <w:p>
      <w:pPr>
        <w:pStyle w:val="Heading2"/>
      </w:pPr>
      <w:r>
        <w:t>Methodology</w:t>
      </w:r>
    </w:p>
    <w:p>
      <w:r>
        <w:t>1) Define canonical JSON Schema: a single schema version that unifies scenario_manifest, telemetry_schema, metric_definitions, prompt_template_contracts, and validator_hooks. 2) Scenario catalogue: write parameterized manifests that specify initial_state, goal_spec, allowed_tools, perturbation_set, memory_policy, success_criteria, seed_policy, and metric_links. 3) Prompt templates: provide typed placeholders (CONTEXT, TOOLS_SCHEMA, GOAL_SPEC, RESPONSE_SCHEMA, VERIFICATION_STEPS) and require machine-parseable action frames. 4) Executor and replay: implement an instrumented runner that logs run_id, seed streams, model_commit, container image, tool calls, verifier outputs, and raw rationales. Deterministic replay reuses saved seeds and recorded tool outputs. 5) Verifier and proof_blob: standardize verify(input_trace, policy_spec) → {verdict, score, explanation, latency_ms, proof_blob_ref}. Proof_blob is signed JSON with payload_hash and signer metadata. 6) Metrics library: implement pure functions for task_success_rate, mean_task_score, hallucination_rate, unsafe_action_rate (severity-weighted), reproducibility_kappa (Fleiss’ kappa), time_to_detection, and normalized aggregation to [0,100]. 7) Sampling plan: run a 30-seed pilot per (variant×scenario) to estimate variance components; use importance sampling and adversarial amplification for rare events. 8) Statistical analysis: use hierarchical mixed-effects models to decompose variance, bootstrap CIs, and Poisson/negative-binomial pooling for sparse incidents. 9) CI and tests: include unit tests for metrics, verifier failure modes, proof_blob signature checks, deterministic replay equality, and a safety smoke scenario. (Technical terms explained: "proof_blob" is a signed evidence record; "importance sampling" is drawing more adversarial examples and reweighting them to estimate overall rates; "Fleiss’ kappa" is a statistic that measures agreement between multiple annotators.)</w:t>
      </w:r>
    </w:p>
    <w:p>
      <w:r>
        <w:t xml:space="preserve"> </w:t>
      </w:r>
    </w:p>
    <w:p>
      <w:pPr>
        <w:pStyle w:val="Heading2"/>
      </w:pPr>
      <w:r>
        <w:t>Experiments</w:t>
      </w:r>
    </w:p>
    <w:p>
      <w:r>
        <w:t>Datasets: (A) 20 filled scenario manifests covering planning, tool escalation, data-exfil, jailbreak, memory corruption, tool-failure, distribution shift, and update-poisoning; (B) augmented adversarial seed sets and paraphrase bank; (C) recorded tool playbacks for deterministic replay. Baselines: (1) per-task benchmark evaluation (task-only metrics); (2) scenario evaluation without verifier/provenance; (3) scenario evaluation with verifier but without importance sampling. Models/variants: LLM-only reactive, Planner+Verifier, Continuous-Learning agent. Metrics: task_success_rate (%), mean_task_score (normalized 0–100), hallucination_rate (%), unsafe_action_rate (severity-weighted %), reproducibility_kappa (mapped to 0–100), time_to_detection (median seconds/turns). Experimental setup: 30-seed pilot: run 30 seeds for 6 representative scenarios × 3 variants (540 episodes) to estimate σ^2 components. Standard comparative runs: 100 seeds per cell; robust runs: 300+ seeds for rare-event estimation. Analysis: fit mixed-effects models (score ~ variant + (1|scenario) + (1|seed)), compute bootstrap 95% CIs, and report variance decomposition. Ablations: A) verifier on vs off; B) proof_blob signing vs unsigned traces; C) importance-sampling vs uniform sampling for rare-event rate estimates. Rare-event modeling: when observed events &lt;30 use importance sampling with hierarchical Beta-Binomial pooling and report conservative upper bounds with Clopper-Pearson or Bayesian credible intervals. Evaluation outputs: detection rates at fixed verifier FN thresholds (&lt;5%), ROC for detectors, ESS and PSIS k diagnostics for importance sampling, and sample-size/power tables produced from pilot variances.</w:t>
      </w:r>
    </w:p>
    <w:p>
      <w:r>
        <w:t xml:space="preserve"> </w:t>
      </w:r>
    </w:p>
    <w:p>
      <w:pPr>
        <w:pStyle w:val="Heading2"/>
      </w:pPr>
      <w:r>
        <w:t>Risk Factors And Limitations</w:t>
      </w:r>
    </w:p>
    <w:p>
      <w:r>
        <w:t>1) Verifier evasion and adversary sophistication: attackers may craft multistep obfuscations or collusion that bypass detectors or forge plausible traces. 2) Key and proof_blob compromises: private-key theft or key-rotation errors can invalidate provenance guarantees. 3) Labeler bias and low IAA: severity labels depend on human judgments that can be inconsistent, reducing reliability. 4) Non-determinism limits reproducibility: stochastic decoders, external tool nondeterminism, and hidden model updates can make exact replay hard. 5) Rare-event sparseness: low natural incident rates may require very large sample sizes and high cost to estimate rates precisely. 6) Privacy and DP tradeoffs: applying differential privacy can reduce utility for sensitive tasks and may be hard to calibrate across repeated updates. 7) Scalability and cost: storing signed proof_blobs, full telemetry, and running large seed counts incurs significant storage and compute costs. 8) Generalization limits: scenario catalogues may not cover all real-world architectures or domain-specific threats, limiting external validity. 9) Statistical model assumptions: hierarchical and pooling models may mis-specify heterogeneity across scenarios, yielding biased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